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800" w:lineRule="auto"/>
        <w:rPr/>
      </w:pPr>
      <w:r w:rsidDel="00000000" w:rsidR="00000000" w:rsidRPr="00000000">
        <w:rPr>
          <w:rtl w:val="0"/>
        </w:rPr>
      </w:r>
    </w:p>
    <w:p w:rsidR="00000000" w:rsidDel="00000000" w:rsidP="00000000" w:rsidRDefault="00000000" w:rsidRPr="00000000" w14:paraId="00000002">
      <w:pPr>
        <w:spacing w:after="60" w:before="0" w:lineRule="auto"/>
        <w:jc w:val="center"/>
        <w:rPr/>
      </w:pPr>
      <w:r w:rsidDel="00000000" w:rsidR="00000000" w:rsidRPr="00000000">
        <w:rPr>
          <w:rFonts w:ascii="Arial" w:cs="Arial" w:eastAsia="Arial" w:hAnsi="Arial"/>
          <w:b w:val="1"/>
          <w:bCs w:val="1"/>
          <w:color w:val="1a2b4a"/>
          <w:sz w:val="56"/>
          <w:szCs w:val="56"/>
          <w:rtl w:val="0"/>
        </w:rPr>
        <w:t xml:space="preserve">FUTURES QUOTIENT</w:t>
      </w:r>
      <w:r w:rsidDel="00000000" w:rsidR="00000000" w:rsidRPr="00000000">
        <w:rPr>
          <w:rtl w:val="0"/>
        </w:rPr>
      </w:r>
    </w:p>
    <w:p w:rsidR="00000000" w:rsidDel="00000000" w:rsidP="00000000" w:rsidRDefault="00000000" w:rsidRPr="00000000" w14:paraId="00000003">
      <w:pPr>
        <w:spacing w:after="60" w:before="0" w:lineRule="auto"/>
        <w:jc w:val="center"/>
        <w:rPr/>
      </w:pPr>
      <w:r w:rsidDel="00000000" w:rsidR="00000000" w:rsidRPr="00000000">
        <w:rPr>
          <w:rFonts w:ascii="Arial" w:cs="Arial" w:eastAsia="Arial" w:hAnsi="Arial"/>
          <w:b w:val="0"/>
          <w:bCs w:val="0"/>
          <w:color w:val="c8962e"/>
          <w:sz w:val="36"/>
          <w:szCs w:val="36"/>
          <w:rtl w:val="0"/>
        </w:rPr>
        <w:t xml:space="preserve">Qulux Token System</w:t>
      </w:r>
      <w:r w:rsidDel="00000000" w:rsidR="00000000" w:rsidRPr="00000000">
        <w:rPr>
          <w:rtl w:val="0"/>
        </w:rPr>
      </w:r>
    </w:p>
    <w:p w:rsidR="00000000" w:rsidDel="00000000" w:rsidP="00000000" w:rsidRDefault="00000000" w:rsidRPr="00000000" w14:paraId="00000004">
      <w:pPr>
        <w:pBdr>
          <w:bottom w:color="c8962e" w:space="12" w:sz="6" w:val="single"/>
        </w:pBdr>
        <w:spacing w:after="120" w:before="60" w:lineRule="auto"/>
        <w:jc w:val="center"/>
        <w:rPr/>
      </w:pPr>
      <w:r w:rsidDel="00000000" w:rsidR="00000000" w:rsidRPr="00000000">
        <w:rPr>
          <w:rFonts w:ascii="Arial" w:cs="Arial" w:eastAsia="Arial" w:hAnsi="Arial"/>
          <w:b w:val="1"/>
          <w:bCs w:val="1"/>
          <w:smallCaps w:val="1"/>
          <w:color w:val="2a7a8c"/>
          <w:sz w:val="22"/>
          <w:szCs w:val="22"/>
          <w:rtl w:val="0"/>
        </w:rPr>
        <w:t xml:space="preserve">WHITE PAPER</w:t>
      </w:r>
      <w:r w:rsidDel="00000000" w:rsidR="00000000" w:rsidRPr="00000000">
        <w:rPr>
          <w:rtl w:val="0"/>
        </w:rPr>
      </w:r>
    </w:p>
    <w:p w:rsidR="00000000" w:rsidDel="00000000" w:rsidP="00000000" w:rsidRDefault="00000000" w:rsidRPr="00000000" w14:paraId="00000005">
      <w:pPr>
        <w:spacing w:after="0" w:before="240" w:lineRule="auto"/>
        <w:rPr/>
      </w:pPr>
      <w:r w:rsidDel="00000000" w:rsidR="00000000" w:rsidRPr="00000000">
        <w:rPr>
          <w:rtl w:val="0"/>
        </w:rPr>
      </w:r>
    </w:p>
    <w:p w:rsidR="00000000" w:rsidDel="00000000" w:rsidP="00000000" w:rsidRDefault="00000000" w:rsidRPr="00000000" w14:paraId="00000006">
      <w:pPr>
        <w:spacing w:after="80" w:lineRule="auto"/>
        <w:jc w:val="center"/>
        <w:rPr>
          <w:color w:val="555555"/>
          <w:sz w:val="26"/>
          <w:szCs w:val="26"/>
        </w:rPr>
      </w:pPr>
      <w:r w:rsidDel="00000000" w:rsidR="00000000" w:rsidRPr="00000000">
        <w:rPr>
          <w:color w:val="555555"/>
          <w:sz w:val="26"/>
          <w:szCs w:val="26"/>
          <w:rtl w:val="0"/>
        </w:rPr>
        <w:t xml:space="preserve">An open-book management system for strategy</w:t>
      </w:r>
    </w:p>
    <w:p w:rsidR="00000000" w:rsidDel="00000000" w:rsidP="00000000" w:rsidRDefault="00000000" w:rsidRPr="00000000" w14:paraId="00000007">
      <w:pPr>
        <w:spacing w:after="80" w:before="0" w:lineRule="auto"/>
        <w:jc w:val="center"/>
        <w:rPr>
          <w:color w:val="555555"/>
          <w:sz w:val="26"/>
          <w:szCs w:val="26"/>
        </w:rPr>
      </w:pPr>
      <w:r w:rsidDel="00000000" w:rsidR="00000000" w:rsidRPr="00000000">
        <w:rPr>
          <w:color w:val="555555"/>
          <w:sz w:val="26"/>
          <w:szCs w:val="26"/>
          <w:rtl w:val="0"/>
        </w:rPr>
        <w:t xml:space="preserve">that provides a measurement standard to make hidden foresight work economically visible.</w:t>
      </w:r>
    </w:p>
    <w:p w:rsidR="00000000" w:rsidDel="00000000" w:rsidP="00000000" w:rsidRDefault="00000000" w:rsidRPr="00000000" w14:paraId="00000008">
      <w:pPr>
        <w:spacing w:after="0" w:before="400" w:lineRule="auto"/>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Fonts w:ascii="Arial" w:cs="Arial" w:eastAsia="Arial" w:hAnsi="Arial"/>
          <w:color w:val="888888"/>
          <w:sz w:val="20"/>
          <w:szCs w:val="20"/>
          <w:rtl w:val="0"/>
        </w:rPr>
        <w:t xml:space="preserve">February 2026</w:t>
      </w:r>
      <w:r w:rsidDel="00000000" w:rsidR="00000000" w:rsidRPr="00000000">
        <w:rPr>
          <w:rtl w:val="0"/>
        </w:rPr>
      </w:r>
    </w:p>
    <w:p w:rsidR="00000000" w:rsidDel="00000000" w:rsidP="00000000" w:rsidRDefault="00000000" w:rsidRPr="00000000" w14:paraId="0000000A">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0B">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0C">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Executive Summary</w:t>
      </w:r>
      <w:r w:rsidDel="00000000" w:rsidR="00000000" w:rsidRPr="00000000">
        <w:rPr>
          <w:rtl w:val="0"/>
        </w:rPr>
      </w:r>
    </w:p>
    <w:p w:rsidR="00000000" w:rsidDel="00000000" w:rsidP="00000000" w:rsidRDefault="00000000" w:rsidRPr="00000000" w14:paraId="0000000D">
      <w:pPr>
        <w:spacing w:after="120" w:before="80" w:line="320" w:lineRule="auto"/>
        <w:jc w:val="both"/>
        <w:rPr/>
      </w:pPr>
      <w:r w:rsidDel="00000000" w:rsidR="00000000" w:rsidRPr="00000000">
        <w:rPr>
          <w:rFonts w:ascii="Arial" w:cs="Arial" w:eastAsia="Arial" w:hAnsi="Arial"/>
          <w:color w:val="111111"/>
          <w:sz w:val="22"/>
          <w:szCs w:val="22"/>
          <w:rtl w:val="0"/>
        </w:rPr>
        <w:t xml:space="preserve">Organizations that invest in foresight consistently outperform those that don’t — avoiding costly missteps, timing strategic moves with greater precision, and building cultures that adapt faster than their peers. Yet for decades, foresight practitioners have struggled to answer the question that every CFO, board member, and budget committee eventually asks: How do we know it’s working?</w:t>
      </w:r>
      <w:r w:rsidDel="00000000" w:rsidR="00000000" w:rsidRPr="00000000">
        <w:rPr>
          <w:rtl w:val="0"/>
        </w:rPr>
      </w:r>
    </w:p>
    <w:p w:rsidR="00000000" w:rsidDel="00000000" w:rsidP="00000000" w:rsidRDefault="00000000" w:rsidRPr="00000000" w14:paraId="0000000E">
      <w:pPr>
        <w:spacing w:after="0" w:before="160" w:lineRule="auto"/>
        <w:rPr/>
      </w:pPr>
      <w:r w:rsidDel="00000000" w:rsidR="00000000" w:rsidRPr="00000000">
        <w:rPr>
          <w:rtl w:val="0"/>
        </w:rPr>
      </w:r>
    </w:p>
    <w:p w:rsidR="00000000" w:rsidDel="00000000" w:rsidP="00000000" w:rsidRDefault="00000000" w:rsidRPr="00000000" w14:paraId="0000000F">
      <w:pPr>
        <w:spacing w:after="120" w:before="80" w:line="320" w:lineRule="auto"/>
        <w:jc w:val="both"/>
        <w:rPr/>
      </w:pPr>
      <w:r w:rsidDel="00000000" w:rsidR="00000000" w:rsidRPr="00000000">
        <w:rPr>
          <w:rFonts w:ascii="Arial" w:cs="Arial" w:eastAsia="Arial" w:hAnsi="Arial"/>
          <w:color w:val="111111"/>
          <w:sz w:val="22"/>
          <w:szCs w:val="22"/>
          <w:rtl w:val="0"/>
        </w:rPr>
        <w:t xml:space="preserve">The Futures Quotient system answers that question with Qulux: a structured, three-part token framework that transforms qualitative foresight activity into verifiable, trackable, and economically legible evidence of organizational capacity. Named for their distinct symbolic lineages, the three Qulux subsets — Tesera (Input), Lumina (Transformation), and Proba (Outcome) — each capture a different dimension of what it means for foresight to work.</w:t>
      </w:r>
      <w:r w:rsidDel="00000000" w:rsidR="00000000" w:rsidRPr="00000000">
        <w:rPr>
          <w:rtl w:val="0"/>
        </w:rPr>
      </w:r>
    </w:p>
    <w:p w:rsidR="00000000" w:rsidDel="00000000" w:rsidP="00000000" w:rsidRDefault="00000000" w:rsidRPr="00000000" w14:paraId="00000010">
      <w:pPr>
        <w:spacing w:after="0" w:before="160" w:lineRule="auto"/>
        <w:rPr/>
      </w:pPr>
      <w:r w:rsidDel="00000000" w:rsidR="00000000" w:rsidRPr="00000000">
        <w:rPr>
          <w:rtl w:val="0"/>
        </w:rPr>
      </w:r>
    </w:p>
    <w:p w:rsidR="00000000" w:rsidDel="00000000" w:rsidP="00000000" w:rsidRDefault="00000000" w:rsidRPr="00000000" w14:paraId="00000011">
      <w:pPr>
        <w:spacing w:after="120" w:before="80" w:line="320" w:lineRule="auto"/>
        <w:jc w:val="both"/>
        <w:rPr/>
      </w:pPr>
      <w:r w:rsidDel="00000000" w:rsidR="00000000" w:rsidRPr="00000000">
        <w:rPr>
          <w:rFonts w:ascii="Arial" w:cs="Arial" w:eastAsia="Arial" w:hAnsi="Arial"/>
          <w:color w:val="111111"/>
          <w:sz w:val="22"/>
          <w:szCs w:val="22"/>
          <w:rtl w:val="0"/>
        </w:rPr>
        <w:t xml:space="preserve">This white paper explains the problem Qulux solves, the logic behind its architecture, the mythology that gives its naming meaning, and why any organization serious about strategic foresight should embed this system at the heart of its practice.</w:t>
      </w:r>
      <w:r w:rsidDel="00000000" w:rsidR="00000000" w:rsidRPr="00000000">
        <w:rPr>
          <w:rtl w:val="0"/>
        </w:rPr>
      </w:r>
    </w:p>
    <w:p w:rsidR="00000000" w:rsidDel="00000000" w:rsidP="00000000" w:rsidRDefault="00000000" w:rsidRPr="00000000" w14:paraId="00000012">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1. The Problem: Foresight Has a Legibility Crisis</w:t>
      </w:r>
      <w:r w:rsidDel="00000000" w:rsidR="00000000" w:rsidRPr="00000000">
        <w:rPr>
          <w:rtl w:val="0"/>
        </w:rPr>
      </w:r>
    </w:p>
    <w:p w:rsidR="00000000" w:rsidDel="00000000" w:rsidP="00000000" w:rsidRDefault="00000000" w:rsidRPr="00000000" w14:paraId="00000013">
      <w:pPr>
        <w:spacing w:after="120" w:before="80" w:line="320" w:lineRule="auto"/>
        <w:jc w:val="both"/>
        <w:rPr/>
      </w:pPr>
      <w:r w:rsidDel="00000000" w:rsidR="00000000" w:rsidRPr="00000000">
        <w:rPr>
          <w:rFonts w:ascii="Arial" w:cs="Arial" w:eastAsia="Arial" w:hAnsi="Arial"/>
          <w:color w:val="111111"/>
          <w:sz w:val="22"/>
          <w:szCs w:val="22"/>
          <w:rtl w:val="0"/>
        </w:rPr>
        <w:t xml:space="preserve">Foresight is not a new discipline. Scenario planning, horizon scanning, futures workshops, and signal monitoring have been practiced at the highest levels of organizational strategy for over half a century. Shell’s scenario team famously helped the company navigate the 1973 oil shock. The intelligence community has relied on structured futures analysis for decades. Academic futurists have developed sophisticated methods for mapping uncertainty and possibility.</w:t>
      </w:r>
      <w:r w:rsidDel="00000000" w:rsidR="00000000" w:rsidRPr="00000000">
        <w:rPr>
          <w:rtl w:val="0"/>
        </w:rPr>
      </w:r>
    </w:p>
    <w:p w:rsidR="00000000" w:rsidDel="00000000" w:rsidP="00000000" w:rsidRDefault="00000000" w:rsidRPr="00000000" w14:paraId="00000014">
      <w:pPr>
        <w:spacing w:after="0" w:before="160" w:lineRule="auto"/>
        <w:rPr/>
      </w:pPr>
      <w:r w:rsidDel="00000000" w:rsidR="00000000" w:rsidRPr="00000000">
        <w:rPr>
          <w:rtl w:val="0"/>
        </w:rPr>
      </w:r>
    </w:p>
    <w:p w:rsidR="00000000" w:rsidDel="00000000" w:rsidP="00000000" w:rsidRDefault="00000000" w:rsidRPr="00000000" w14:paraId="00000015">
      <w:pPr>
        <w:spacing w:after="120" w:before="80" w:line="320" w:lineRule="auto"/>
        <w:jc w:val="both"/>
        <w:rPr/>
      </w:pPr>
      <w:r w:rsidDel="00000000" w:rsidR="00000000" w:rsidRPr="00000000">
        <w:rPr>
          <w:rFonts w:ascii="Arial" w:cs="Arial" w:eastAsia="Arial" w:hAnsi="Arial"/>
          <w:color w:val="111111"/>
          <w:sz w:val="22"/>
          <w:szCs w:val="22"/>
          <w:rtl w:val="0"/>
        </w:rPr>
        <w:t xml:space="preserve">And yet, in most organizations today, foresight sits at the margins. It is treated as an intellectual luxury, a boutique consulting engagement, or a nice-to-have that evaporates when budgets tighten. Why?</w:t>
      </w:r>
      <w:r w:rsidDel="00000000" w:rsidR="00000000" w:rsidRPr="00000000">
        <w:rPr>
          <w:rtl w:val="0"/>
        </w:rPr>
      </w:r>
    </w:p>
    <w:p w:rsidR="00000000" w:rsidDel="00000000" w:rsidP="00000000" w:rsidRDefault="00000000" w:rsidRPr="00000000" w14:paraId="00000016">
      <w:pPr>
        <w:spacing w:after="0" w:before="160" w:lineRule="auto"/>
        <w:rPr/>
      </w:pPr>
      <w:r w:rsidDel="00000000" w:rsidR="00000000" w:rsidRPr="00000000">
        <w:rPr>
          <w:rtl w:val="0"/>
        </w:rPr>
      </w:r>
    </w:p>
    <w:p w:rsidR="00000000" w:rsidDel="00000000" w:rsidP="00000000" w:rsidRDefault="00000000" w:rsidRPr="00000000" w14:paraId="00000017">
      <w:pPr>
        <w:spacing w:after="120" w:before="80" w:line="320" w:lineRule="auto"/>
        <w:jc w:val="both"/>
        <w:rPr/>
      </w:pPr>
      <w:r w:rsidDel="00000000" w:rsidR="00000000" w:rsidRPr="00000000">
        <w:rPr>
          <w:rFonts w:ascii="Arial" w:cs="Arial" w:eastAsia="Arial" w:hAnsi="Arial"/>
          <w:color w:val="111111"/>
          <w:sz w:val="22"/>
          <w:szCs w:val="22"/>
          <w:rtl w:val="0"/>
        </w:rPr>
        <w:t xml:space="preserve">The answer is not that foresight doesn’t work. The answer is that foresight doesn’t count. It produces no line item on a balance sheet. It leaves no obvious trail in a KPI dashboard. When a crisis is avoided because a team identified a weak signal two years earlier, the avoided cost is invisible — the organization simply doesn’t experience a loss it never knew was coming. When an organization enters a market six months ahead of competitors because its scenario work flagged the timing window, the advantage appears to flow from good instinct, not from disciplined futures practice.</w:t>
      </w:r>
      <w:r w:rsidDel="00000000" w:rsidR="00000000" w:rsidRPr="00000000">
        <w:rPr>
          <w:rtl w:val="0"/>
        </w:rPr>
      </w:r>
    </w:p>
    <w:p w:rsidR="00000000" w:rsidDel="00000000" w:rsidP="00000000" w:rsidRDefault="00000000" w:rsidRPr="00000000" w14:paraId="00000018">
      <w:pPr>
        <w:spacing w:after="0" w:before="160" w:lineRule="auto"/>
        <w:rPr/>
      </w:pPr>
      <w:r w:rsidDel="00000000" w:rsidR="00000000" w:rsidRPr="00000000">
        <w:rPr>
          <w:rtl w:val="0"/>
        </w:rPr>
      </w:r>
    </w:p>
    <w:p w:rsidR="00000000" w:rsidDel="00000000" w:rsidP="00000000" w:rsidRDefault="00000000" w:rsidRPr="00000000" w14:paraId="00000019">
      <w:pPr>
        <w:pBdr>
          <w:left w:color="c8962e" w:space="12" w:sz="12" w:val="single"/>
        </w:pBdr>
        <w:shd w:fill="fdf8ee" w:val="clear"/>
        <w:spacing w:after="200" w:before="200" w:lineRule="auto"/>
        <w:ind w:left="720" w:right="720" w:firstLine="0"/>
        <w:rPr/>
      </w:pPr>
      <w:r w:rsidDel="00000000" w:rsidR="00000000" w:rsidRPr="00000000">
        <w:rPr>
          <w:rFonts w:ascii="Arial" w:cs="Arial" w:eastAsia="Arial" w:hAnsi="Arial"/>
          <w:b w:val="1"/>
          <w:bCs w:val="1"/>
          <w:color w:val="c8962e"/>
          <w:sz w:val="22"/>
          <w:szCs w:val="22"/>
          <w:rtl w:val="0"/>
        </w:rPr>
        <w:t xml:space="preserve">The Core Problem: </w:t>
      </w:r>
      <w:r w:rsidDel="00000000" w:rsidR="00000000" w:rsidRPr="00000000">
        <w:rPr>
          <w:rFonts w:ascii="Arial" w:cs="Arial" w:eastAsia="Arial" w:hAnsi="Arial"/>
          <w:color w:val="555555"/>
          <w:sz w:val="22"/>
          <w:szCs w:val="22"/>
          <w:rtl w:val="0"/>
        </w:rPr>
        <w:t xml:space="preserve">Foresight creates real value but produces no standard unit of that value. Without a common unit, it cannot be compared, budgeted, promoted, or defended.</w:t>
      </w:r>
      <w:r w:rsidDel="00000000" w:rsidR="00000000" w:rsidRPr="00000000">
        <w:rPr>
          <w:rtl w:val="0"/>
        </w:rPr>
      </w:r>
    </w:p>
    <w:p w:rsidR="00000000" w:rsidDel="00000000" w:rsidP="00000000" w:rsidRDefault="00000000" w:rsidRPr="00000000" w14:paraId="0000001A">
      <w:pPr>
        <w:spacing w:after="0" w:before="160" w:lineRule="auto"/>
        <w:rPr/>
      </w:pPr>
      <w:r w:rsidDel="00000000" w:rsidR="00000000" w:rsidRPr="00000000">
        <w:rPr>
          <w:rtl w:val="0"/>
        </w:rPr>
      </w:r>
    </w:p>
    <w:p w:rsidR="00000000" w:rsidDel="00000000" w:rsidP="00000000" w:rsidRDefault="00000000" w:rsidRPr="00000000" w14:paraId="0000001B">
      <w:pPr>
        <w:spacing w:after="120" w:before="80" w:line="320" w:lineRule="auto"/>
        <w:jc w:val="both"/>
        <w:rPr/>
      </w:pPr>
      <w:r w:rsidDel="00000000" w:rsidR="00000000" w:rsidRPr="00000000">
        <w:rPr>
          <w:rFonts w:ascii="Arial" w:cs="Arial" w:eastAsia="Arial" w:hAnsi="Arial"/>
          <w:color w:val="111111"/>
          <w:sz w:val="22"/>
          <w:szCs w:val="22"/>
          <w:rtl w:val="0"/>
        </w:rPr>
        <w:t xml:space="preserve">This is what economists call an information asymmetry problem, and what we prefer to call a legibility crisis. The value is there. The capacity is real. But it cannot be read by the people who control resources, because the language foresight speaks — qualitative, probabilistic, long-horizon — is not the language the organization runs on.</w:t>
      </w:r>
      <w:r w:rsidDel="00000000" w:rsidR="00000000" w:rsidRPr="00000000">
        <w:rPr>
          <w:rtl w:val="0"/>
        </w:rPr>
      </w:r>
    </w:p>
    <w:p w:rsidR="00000000" w:rsidDel="00000000" w:rsidP="00000000" w:rsidRDefault="00000000" w:rsidRPr="00000000" w14:paraId="0000001C">
      <w:pPr>
        <w:spacing w:after="0" w:before="160" w:lineRule="auto"/>
        <w:rPr/>
      </w:pPr>
      <w:r w:rsidDel="00000000" w:rsidR="00000000" w:rsidRPr="00000000">
        <w:rPr>
          <w:rtl w:val="0"/>
        </w:rPr>
      </w:r>
    </w:p>
    <w:p w:rsidR="00000000" w:rsidDel="00000000" w:rsidP="00000000" w:rsidRDefault="00000000" w:rsidRPr="00000000" w14:paraId="0000001D">
      <w:pPr>
        <w:spacing w:after="120" w:before="80" w:line="320" w:lineRule="auto"/>
        <w:jc w:val="both"/>
        <w:rPr/>
      </w:pPr>
      <w:r w:rsidDel="00000000" w:rsidR="00000000" w:rsidRPr="00000000">
        <w:rPr>
          <w:rFonts w:ascii="Arial" w:cs="Arial" w:eastAsia="Arial" w:hAnsi="Arial"/>
          <w:color w:val="111111"/>
          <w:sz w:val="22"/>
          <w:szCs w:val="22"/>
          <w:rtl w:val="0"/>
        </w:rPr>
        <w:t xml:space="preserve">Inspired by Brenner’s Human Agency Tokens (HATs) framework, Futures Quotient was designed to bridge exactly this gap: to create a measurement standard that makes foresight work economically legible, without forcing practitioners to abandon their methods or executives to abandon their metrics.</w:t>
      </w:r>
      <w:r w:rsidDel="00000000" w:rsidR="00000000" w:rsidRPr="00000000">
        <w:rPr>
          <w:rtl w:val="0"/>
        </w:rPr>
      </w:r>
    </w:p>
    <w:p w:rsidR="00000000" w:rsidDel="00000000" w:rsidP="00000000" w:rsidRDefault="00000000" w:rsidRPr="00000000" w14:paraId="0000001E">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1F">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2. The Solution: Tokens as Proof-of-Work</w:t>
      </w:r>
      <w:r w:rsidDel="00000000" w:rsidR="00000000" w:rsidRPr="00000000">
        <w:rPr>
          <w:rtl w:val="0"/>
        </w:rPr>
      </w:r>
    </w:p>
    <w:p w:rsidR="00000000" w:rsidDel="00000000" w:rsidP="00000000" w:rsidRDefault="00000000" w:rsidRPr="00000000" w14:paraId="00000020">
      <w:pPr>
        <w:spacing w:after="120" w:before="80" w:line="320" w:lineRule="auto"/>
        <w:jc w:val="both"/>
        <w:rPr/>
      </w:pPr>
      <w:r w:rsidDel="00000000" w:rsidR="00000000" w:rsidRPr="00000000">
        <w:rPr>
          <w:rFonts w:ascii="Arial" w:cs="Arial" w:eastAsia="Arial" w:hAnsi="Arial"/>
          <w:color w:val="111111"/>
          <w:sz w:val="22"/>
          <w:szCs w:val="22"/>
          <w:rtl w:val="0"/>
        </w:rPr>
        <w:t xml:space="preserve">Qulux tokens are not currency. They are not cryptocurrency. They are not points in a gamified engagement system. They are verifiable, structured records — more akin to academic transcripts or professional certifications than to anything tradeable or exchangeable.</w:t>
      </w:r>
      <w:r w:rsidDel="00000000" w:rsidR="00000000" w:rsidRPr="00000000">
        <w:rPr>
          <w:rtl w:val="0"/>
        </w:rPr>
      </w:r>
    </w:p>
    <w:p w:rsidR="00000000" w:rsidDel="00000000" w:rsidP="00000000" w:rsidRDefault="00000000" w:rsidRPr="00000000" w14:paraId="00000021">
      <w:pPr>
        <w:spacing w:after="0" w:before="160" w:lineRule="auto"/>
        <w:rPr/>
      </w:pPr>
      <w:r w:rsidDel="00000000" w:rsidR="00000000" w:rsidRPr="00000000">
        <w:rPr>
          <w:rtl w:val="0"/>
        </w:rPr>
      </w:r>
    </w:p>
    <w:p w:rsidR="00000000" w:rsidDel="00000000" w:rsidP="00000000" w:rsidRDefault="00000000" w:rsidRPr="00000000" w14:paraId="00000022">
      <w:pPr>
        <w:spacing w:after="120" w:before="80" w:line="320" w:lineRule="auto"/>
        <w:jc w:val="both"/>
        <w:rPr/>
      </w:pPr>
      <w:r w:rsidDel="00000000" w:rsidR="00000000" w:rsidRPr="00000000">
        <w:rPr>
          <w:rFonts w:ascii="Arial" w:cs="Arial" w:eastAsia="Arial" w:hAnsi="Arial"/>
          <w:color w:val="111111"/>
          <w:sz w:val="22"/>
          <w:szCs w:val="22"/>
          <w:rtl w:val="0"/>
        </w:rPr>
        <w:t xml:space="preserve">The fundamental principle is simple: tokens are issued only when something demonstrably occurred. They are proof-of-work — evidence that a specific foresight activity took place, that a genuine organizational shift happened, or that a real-world outcome can be attributed to foresight investment. They accumulate over time in individual and organizational ledgers, creating a multi-dimensional profile rather than a single opaque score.</w:t>
      </w:r>
      <w:r w:rsidDel="00000000" w:rsidR="00000000" w:rsidRPr="00000000">
        <w:rPr>
          <w:rtl w:val="0"/>
        </w:rPr>
      </w:r>
    </w:p>
    <w:p w:rsidR="00000000" w:rsidDel="00000000" w:rsidP="00000000" w:rsidRDefault="00000000" w:rsidRPr="00000000" w14:paraId="00000023">
      <w:pPr>
        <w:spacing w:after="0" w:before="160" w:lineRule="auto"/>
        <w:rPr/>
      </w:pPr>
      <w:r w:rsidDel="00000000" w:rsidR="00000000" w:rsidRPr="00000000">
        <w:rPr>
          <w:rtl w:val="0"/>
        </w:rPr>
      </w:r>
    </w:p>
    <w:p w:rsidR="00000000" w:rsidDel="00000000" w:rsidP="00000000" w:rsidRDefault="00000000" w:rsidRPr="00000000" w14:paraId="00000024">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Why Three Streams, Not One Number</w:t>
      </w:r>
      <w:r w:rsidDel="00000000" w:rsidR="00000000" w:rsidRPr="00000000">
        <w:rPr>
          <w:rtl w:val="0"/>
        </w:rPr>
      </w:r>
    </w:p>
    <w:p w:rsidR="00000000" w:rsidDel="00000000" w:rsidP="00000000" w:rsidRDefault="00000000" w:rsidRPr="00000000" w14:paraId="00000025">
      <w:pPr>
        <w:spacing w:after="120" w:before="80" w:line="320" w:lineRule="auto"/>
        <w:jc w:val="both"/>
        <w:rPr/>
      </w:pPr>
      <w:r w:rsidDel="00000000" w:rsidR="00000000" w:rsidRPr="00000000">
        <w:rPr>
          <w:rFonts w:ascii="Arial" w:cs="Arial" w:eastAsia="Arial" w:hAnsi="Arial"/>
          <w:color w:val="111111"/>
          <w:sz w:val="22"/>
          <w:szCs w:val="22"/>
          <w:rtl w:val="0"/>
        </w:rPr>
        <w:t xml:space="preserve">Traditional KPIs collapse complexity into a single figure. That simplicity is seductive but misleading, especially for a capability like foresight, which operates across vastly different timescales and levels of organizational depth.</w:t>
      </w:r>
      <w:r w:rsidDel="00000000" w:rsidR="00000000" w:rsidRPr="00000000">
        <w:rPr>
          <w:rtl w:val="0"/>
        </w:rPr>
      </w:r>
    </w:p>
    <w:p w:rsidR="00000000" w:rsidDel="00000000" w:rsidP="00000000" w:rsidRDefault="00000000" w:rsidRPr="00000000" w14:paraId="00000026">
      <w:pPr>
        <w:spacing w:after="0" w:before="160" w:lineRule="auto"/>
        <w:rPr/>
      </w:pPr>
      <w:r w:rsidDel="00000000" w:rsidR="00000000" w:rsidRPr="00000000">
        <w:rPr>
          <w:rtl w:val="0"/>
        </w:rPr>
      </w:r>
    </w:p>
    <w:p w:rsidR="00000000" w:rsidDel="00000000" w:rsidP="00000000" w:rsidRDefault="00000000" w:rsidRPr="00000000" w14:paraId="00000027">
      <w:pPr>
        <w:spacing w:after="120" w:before="80" w:line="320" w:lineRule="auto"/>
        <w:jc w:val="both"/>
        <w:rPr/>
      </w:pPr>
      <w:r w:rsidDel="00000000" w:rsidR="00000000" w:rsidRPr="00000000">
        <w:rPr>
          <w:rFonts w:ascii="Arial" w:cs="Arial" w:eastAsia="Arial" w:hAnsi="Arial"/>
          <w:color w:val="111111"/>
          <w:sz w:val="22"/>
          <w:szCs w:val="22"/>
          <w:rtl w:val="0"/>
        </w:rPr>
        <w:t xml:space="preserve">Consider the difference between attending a futures workshop (something that can be verified in an afternoon), shifting the language a leadership team uses when discussing long-term uncertainty (something that takes months to measure), and demonstrably avoiding a crisis that felled three of your industry peers (something that may only become visible in retrospect). These are not the same kind of thing. Adding them into a single score is like adding pounds to miles — the arithmetic is possible but the result is meaningless.</w:t>
      </w:r>
      <w:r w:rsidDel="00000000" w:rsidR="00000000" w:rsidRPr="00000000">
        <w:rPr>
          <w:rtl w:val="0"/>
        </w:rPr>
      </w:r>
    </w:p>
    <w:p w:rsidR="00000000" w:rsidDel="00000000" w:rsidP="00000000" w:rsidRDefault="00000000" w:rsidRPr="00000000" w14:paraId="00000028">
      <w:pPr>
        <w:spacing w:after="0" w:before="160" w:lineRule="auto"/>
        <w:rPr/>
      </w:pPr>
      <w:r w:rsidDel="00000000" w:rsidR="00000000" w:rsidRPr="00000000">
        <w:rPr>
          <w:rtl w:val="0"/>
        </w:rPr>
      </w:r>
    </w:p>
    <w:p w:rsidR="00000000" w:rsidDel="00000000" w:rsidP="00000000" w:rsidRDefault="00000000" w:rsidRPr="00000000" w14:paraId="00000029">
      <w:pPr>
        <w:spacing w:after="120" w:before="80" w:line="320" w:lineRule="auto"/>
        <w:jc w:val="both"/>
        <w:rPr/>
      </w:pPr>
      <w:r w:rsidDel="00000000" w:rsidR="00000000" w:rsidRPr="00000000">
        <w:rPr>
          <w:rFonts w:ascii="Arial" w:cs="Arial" w:eastAsia="Arial" w:hAnsi="Arial"/>
          <w:color w:val="111111"/>
          <w:sz w:val="22"/>
          <w:szCs w:val="22"/>
          <w:rtl w:val="0"/>
        </w:rPr>
        <w:t xml:space="preserve">Instead, Qulux tracks three parallel streams simultaneously. The pattern across all three is where the real information lives. High activity with flat transformation is a warning signal: the organization is doing foresight work without letting it change anything. High transformation with declining activity is a different warning: the culture has shifted but the practice is coasting. Only when all three streams rise together — with the expected lag between inputs and outcomes — is there convergent evidence that foresight is genuinely working.</w:t>
      </w:r>
      <w:r w:rsidDel="00000000" w:rsidR="00000000" w:rsidRPr="00000000">
        <w:rPr>
          <w:rtl w:val="0"/>
        </w:rPr>
      </w:r>
    </w:p>
    <w:p w:rsidR="00000000" w:rsidDel="00000000" w:rsidP="00000000" w:rsidRDefault="00000000" w:rsidRPr="00000000" w14:paraId="0000002A">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2B">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2C">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3. The Mythology of Qulux: Naming as Meaning</w:t>
      </w:r>
      <w:r w:rsidDel="00000000" w:rsidR="00000000" w:rsidRPr="00000000">
        <w:rPr>
          <w:rtl w:val="0"/>
        </w:rPr>
      </w:r>
    </w:p>
    <w:p w:rsidR="00000000" w:rsidDel="00000000" w:rsidP="00000000" w:rsidRDefault="00000000" w:rsidRPr="00000000" w14:paraId="0000002D">
      <w:pPr>
        <w:spacing w:after="120" w:before="80" w:line="320" w:lineRule="auto"/>
        <w:jc w:val="both"/>
        <w:rPr/>
      </w:pPr>
      <w:r w:rsidDel="00000000" w:rsidR="00000000" w:rsidRPr="00000000">
        <w:rPr>
          <w:rFonts w:ascii="Arial" w:cs="Arial" w:eastAsia="Arial" w:hAnsi="Arial"/>
          <w:color w:val="111111"/>
          <w:sz w:val="22"/>
          <w:szCs w:val="22"/>
          <w:rtl w:val="0"/>
        </w:rPr>
        <w:t xml:space="preserve">The three subsets of Qulux — Tesera, Lumina, and Proba — are not arbitrary product names. Each carries etymological and symbolic weight drawn from the history of human meaning-making, chosen deliberately to honor what each token type represents. Put together, the tell a story of foresight</w:t>
      </w:r>
      <w:r w:rsidDel="00000000" w:rsidR="00000000" w:rsidRPr="00000000">
        <w:rPr>
          <w:color w:val="111111"/>
          <w:rtl w:val="0"/>
        </w:rPr>
        <w:t xml:space="preserve">.</w:t>
      </w:r>
      <w:r w:rsidDel="00000000" w:rsidR="00000000" w:rsidRPr="00000000">
        <w:rPr>
          <w:rtl w:val="0"/>
        </w:rPr>
      </w:r>
    </w:p>
    <w:p w:rsidR="00000000" w:rsidDel="00000000" w:rsidP="00000000" w:rsidRDefault="00000000" w:rsidRPr="00000000" w14:paraId="0000002E">
      <w:pPr>
        <w:spacing w:after="0" w:before="160" w:lineRule="auto"/>
        <w:rPr/>
      </w:pPr>
      <w:r w:rsidDel="00000000" w:rsidR="00000000" w:rsidRPr="00000000">
        <w:rPr>
          <w:rtl w:val="0"/>
        </w:rPr>
      </w:r>
    </w:p>
    <w:p w:rsidR="00000000" w:rsidDel="00000000" w:rsidP="00000000" w:rsidRDefault="00000000" w:rsidRPr="00000000" w14:paraId="0000002F">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Qulux: The Name of the Whole</w:t>
      </w:r>
      <w:r w:rsidDel="00000000" w:rsidR="00000000" w:rsidRPr="00000000">
        <w:rPr>
          <w:rtl w:val="0"/>
        </w:rPr>
      </w:r>
    </w:p>
    <w:p w:rsidR="00000000" w:rsidDel="00000000" w:rsidP="00000000" w:rsidRDefault="00000000" w:rsidRPr="00000000" w14:paraId="00000030">
      <w:pPr>
        <w:spacing w:after="120" w:before="80" w:line="320" w:lineRule="auto"/>
        <w:jc w:val="both"/>
        <w:rPr/>
      </w:pPr>
      <w:r w:rsidDel="00000000" w:rsidR="00000000" w:rsidRPr="00000000">
        <w:rPr>
          <w:rFonts w:ascii="Arial" w:cs="Arial" w:eastAsia="Arial" w:hAnsi="Arial"/>
          <w:color w:val="111111"/>
          <w:sz w:val="22"/>
          <w:szCs w:val="22"/>
          <w:rtl w:val="0"/>
        </w:rPr>
        <w:t xml:space="preserve">The name Qulux fuses t</w:t>
      </w:r>
      <w:r w:rsidDel="00000000" w:rsidR="00000000" w:rsidRPr="00000000">
        <w:rPr>
          <w:color w:val="111111"/>
          <w:rtl w:val="0"/>
        </w:rPr>
        <w:t xml:space="preserve">hree</w:t>
      </w:r>
      <w:r w:rsidDel="00000000" w:rsidR="00000000" w:rsidRPr="00000000">
        <w:rPr>
          <w:rFonts w:ascii="Arial" w:cs="Arial" w:eastAsia="Arial" w:hAnsi="Arial"/>
          <w:color w:val="111111"/>
          <w:sz w:val="22"/>
          <w:szCs w:val="22"/>
          <w:rtl w:val="0"/>
        </w:rPr>
        <w:t xml:space="preserve"> ancient </w:t>
      </w:r>
      <w:r w:rsidDel="00000000" w:rsidR="00000000" w:rsidRPr="00000000">
        <w:rPr>
          <w:color w:val="111111"/>
          <w:rtl w:val="0"/>
        </w:rPr>
        <w:t xml:space="preserve">words</w:t>
      </w:r>
      <w:r w:rsidDel="00000000" w:rsidR="00000000" w:rsidRPr="00000000">
        <w:rPr>
          <w:rFonts w:ascii="Arial" w:cs="Arial" w:eastAsia="Arial" w:hAnsi="Arial"/>
          <w:color w:val="111111"/>
          <w:sz w:val="22"/>
          <w:szCs w:val="22"/>
          <w:rtl w:val="0"/>
        </w:rPr>
        <w:t xml:space="preserve">: Quanta, </w:t>
      </w:r>
      <w:r w:rsidDel="00000000" w:rsidR="00000000" w:rsidRPr="00000000">
        <w:rPr>
          <w:color w:val="111111"/>
          <w:rtl w:val="0"/>
        </w:rPr>
        <w:t xml:space="preserve">Ulu</w:t>
      </w:r>
      <w:r w:rsidDel="00000000" w:rsidR="00000000" w:rsidRPr="00000000">
        <w:rPr>
          <w:rFonts w:ascii="Arial" w:cs="Arial" w:eastAsia="Arial" w:hAnsi="Arial"/>
          <w:color w:val="111111"/>
          <w:sz w:val="22"/>
          <w:szCs w:val="22"/>
          <w:rtl w:val="0"/>
        </w:rPr>
        <w:t xml:space="preserve">, and </w:t>
      </w:r>
      <w:r w:rsidDel="00000000" w:rsidR="00000000" w:rsidRPr="00000000">
        <w:rPr>
          <w:color w:val="111111"/>
          <w:rtl w:val="0"/>
        </w:rPr>
        <w:t xml:space="preserve">Lux </w:t>
      </w:r>
      <w:r w:rsidDel="00000000" w:rsidR="00000000" w:rsidRPr="00000000">
        <w:rPr>
          <w:rFonts w:ascii="Arial" w:cs="Arial" w:eastAsia="Arial" w:hAnsi="Arial"/>
          <w:color w:val="111111"/>
          <w:sz w:val="22"/>
          <w:szCs w:val="22"/>
          <w:rtl w:val="0"/>
        </w:rPr>
        <w:t xml:space="preserve">It is the intellectual posture of futures thinking itself: not predicting, but attending; not forecasting deterministically, but casting light into the territory of possibility so that better choices can be made.</w:t>
      </w:r>
      <w:r w:rsidDel="00000000" w:rsidR="00000000" w:rsidRPr="00000000">
        <w:rPr>
          <w:rtl w:val="0"/>
        </w:rPr>
      </w:r>
    </w:p>
    <w:p w:rsidR="00000000" w:rsidDel="00000000" w:rsidP="00000000" w:rsidRDefault="00000000" w:rsidRPr="00000000" w14:paraId="00000031">
      <w:pPr>
        <w:spacing w:after="0" w:before="160" w:lineRule="auto"/>
        <w:rPr/>
      </w:pPr>
      <w:r w:rsidDel="00000000" w:rsidR="00000000" w:rsidRPr="00000000">
        <w:rPr>
          <w:rtl w:val="0"/>
        </w:rPr>
      </w:r>
    </w:p>
    <w:p w:rsidR="00000000" w:rsidDel="00000000" w:rsidP="00000000" w:rsidRDefault="00000000" w:rsidRPr="00000000" w14:paraId="00000032">
      <w:pPr>
        <w:spacing w:after="120" w:before="80" w:line="320" w:lineRule="auto"/>
        <w:jc w:val="both"/>
        <w:rPr/>
      </w:pPr>
      <w:r w:rsidDel="00000000" w:rsidR="00000000" w:rsidRPr="00000000">
        <w:rPr>
          <w:rFonts w:ascii="Arial" w:cs="Arial" w:eastAsia="Arial" w:hAnsi="Arial"/>
          <w:color w:val="111111"/>
          <w:sz w:val="22"/>
          <w:szCs w:val="22"/>
          <w:rtl w:val="0"/>
        </w:rPr>
        <w:t xml:space="preserve">Together, a Qulux profile is a record of how much light an individual or organization has cast forward — how actively, how deeply, and with what results.</w:t>
      </w:r>
      <w:r w:rsidDel="00000000" w:rsidR="00000000" w:rsidRPr="00000000">
        <w:rPr>
          <w:rtl w:val="0"/>
        </w:rPr>
      </w:r>
    </w:p>
    <w:p w:rsidR="00000000" w:rsidDel="00000000" w:rsidP="00000000" w:rsidRDefault="00000000" w:rsidRPr="00000000" w14:paraId="00000033">
      <w:pPr>
        <w:spacing w:after="0" w:before="160" w:lineRule="auto"/>
        <w:rPr/>
      </w:pPr>
      <w:r w:rsidDel="00000000" w:rsidR="00000000" w:rsidRPr="00000000">
        <w:rPr>
          <w:rtl w:val="0"/>
        </w:rPr>
      </w:r>
    </w:p>
    <w:p w:rsidR="00000000" w:rsidDel="00000000" w:rsidP="00000000" w:rsidRDefault="00000000" w:rsidRPr="00000000" w14:paraId="00000034">
      <w:pPr>
        <w:pStyle w:val="Heading2"/>
        <w:spacing w:after="120" w:before="280" w:lineRule="auto"/>
        <w:rPr/>
      </w:pPr>
      <w:r w:rsidDel="00000000" w:rsidR="00000000" w:rsidRPr="00000000">
        <w:rPr>
          <w:rtl w:val="0"/>
        </w:rPr>
      </w:r>
    </w:p>
    <w:p w:rsidR="00000000" w:rsidDel="00000000" w:rsidP="00000000" w:rsidRDefault="00000000" w:rsidRPr="00000000" w14:paraId="00000035">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Tesera — Input Tokens</w:t>
      </w:r>
      <w:r w:rsidDel="00000000" w:rsidR="00000000" w:rsidRPr="00000000">
        <w:rPr>
          <w:rtl w:val="0"/>
        </w:rPr>
      </w:r>
    </w:p>
    <w:p w:rsidR="00000000" w:rsidDel="00000000" w:rsidP="00000000" w:rsidRDefault="00000000" w:rsidRPr="00000000" w14:paraId="00000036">
      <w:pPr>
        <w:spacing w:after="120" w:before="80" w:line="320" w:lineRule="auto"/>
        <w:jc w:val="both"/>
        <w:rPr/>
      </w:pPr>
      <w:r w:rsidDel="00000000" w:rsidR="00000000" w:rsidRPr="00000000">
        <w:rPr>
          <w:rFonts w:ascii="Arial" w:cs="Arial" w:eastAsia="Arial" w:hAnsi="Arial"/>
          <w:color w:val="111111"/>
          <w:sz w:val="22"/>
          <w:szCs w:val="22"/>
          <w:rtl w:val="0"/>
        </w:rPr>
        <w:t xml:space="preserve">Tesera derives from the Greek tessera, meaning a tile, a token, or a piece of mosaic. In ancient Rome, a tessera was a small tablet used as a proof of identity, a ticket of admission, or a record of participation — a physical artifact that said “this person was here, this person did this thing.” Roman soldiers received tesserae as military tokens. Citizens used them to access public games. Merchants exchanged them as verifiable receipts.</w:t>
      </w:r>
      <w:r w:rsidDel="00000000" w:rsidR="00000000" w:rsidRPr="00000000">
        <w:rPr>
          <w:rtl w:val="0"/>
        </w:rPr>
      </w:r>
    </w:p>
    <w:p w:rsidR="00000000" w:rsidDel="00000000" w:rsidP="00000000" w:rsidRDefault="00000000" w:rsidRPr="00000000" w14:paraId="00000037">
      <w:pPr>
        <w:spacing w:after="0" w:before="160" w:lineRule="auto"/>
        <w:rPr/>
      </w:pPr>
      <w:r w:rsidDel="00000000" w:rsidR="00000000" w:rsidRPr="00000000">
        <w:rPr>
          <w:rtl w:val="0"/>
        </w:rPr>
      </w:r>
    </w:p>
    <w:p w:rsidR="00000000" w:rsidDel="00000000" w:rsidP="00000000" w:rsidRDefault="00000000" w:rsidRPr="00000000" w14:paraId="00000038">
      <w:pPr>
        <w:spacing w:after="120" w:before="80" w:line="320" w:lineRule="auto"/>
        <w:jc w:val="both"/>
        <w:rPr/>
      </w:pPr>
      <w:r w:rsidDel="00000000" w:rsidR="00000000" w:rsidRPr="00000000">
        <w:rPr>
          <w:rFonts w:ascii="Arial" w:cs="Arial" w:eastAsia="Arial" w:hAnsi="Arial"/>
          <w:color w:val="111111"/>
          <w:sz w:val="22"/>
          <w:szCs w:val="22"/>
          <w:rtl w:val="0"/>
        </w:rPr>
        <w:t xml:space="preserve">Tesera tokens carry this meaning forward. They are tiles of evidence: each one a small record that a piece of foresight work occurred. Individually, each Tesera is modest. Assembled, they create a mosaic — a visible pattern of practice that represents the full texture of an individual’s or team’s foresight engagement.</w:t>
      </w:r>
      <w:r w:rsidDel="00000000" w:rsidR="00000000" w:rsidRPr="00000000">
        <w:rPr>
          <w:rtl w:val="0"/>
        </w:rPr>
      </w:r>
    </w:p>
    <w:p w:rsidR="00000000" w:rsidDel="00000000" w:rsidP="00000000" w:rsidRDefault="00000000" w:rsidRPr="00000000" w14:paraId="00000039">
      <w:pPr>
        <w:spacing w:after="0" w:before="160" w:lineRule="auto"/>
        <w:rPr/>
      </w:pPr>
      <w:r w:rsidDel="00000000" w:rsidR="00000000" w:rsidRPr="00000000">
        <w:rPr>
          <w:rtl w:val="0"/>
        </w:rPr>
      </w:r>
    </w:p>
    <w:p w:rsidR="00000000" w:rsidDel="00000000" w:rsidP="00000000" w:rsidRDefault="00000000" w:rsidRPr="00000000" w14:paraId="0000003A">
      <w:pPr>
        <w:spacing w:after="120" w:before="80" w:line="320" w:lineRule="auto"/>
        <w:jc w:val="both"/>
        <w:rPr/>
      </w:pPr>
      <w:r w:rsidDel="00000000" w:rsidR="00000000" w:rsidRPr="00000000">
        <w:rPr>
          <w:rFonts w:ascii="Arial" w:cs="Arial" w:eastAsia="Arial" w:hAnsi="Arial"/>
          <w:color w:val="111111"/>
          <w:sz w:val="22"/>
          <w:szCs w:val="22"/>
          <w:rtl w:val="0"/>
        </w:rPr>
        <w:t xml:space="preserve">Tesera are earned through doing: attending workshops, contributing to horizon scans, developing scenarios, bridging silos through cross-functional futures work. They are verified through automated systems, creating an audit trail as reliable as a university transcript.</w:t>
      </w:r>
      <w:r w:rsidDel="00000000" w:rsidR="00000000" w:rsidRPr="00000000">
        <w:rPr>
          <w:rtl w:val="0"/>
        </w:rPr>
      </w:r>
    </w:p>
    <w:p w:rsidR="00000000" w:rsidDel="00000000" w:rsidP="00000000" w:rsidRDefault="00000000" w:rsidRPr="00000000" w14:paraId="0000003B">
      <w:pPr>
        <w:spacing w:after="0" w:before="160" w:lineRule="auto"/>
        <w:rPr/>
      </w:pPr>
      <w:r w:rsidDel="00000000" w:rsidR="00000000" w:rsidRPr="00000000">
        <w:rPr>
          <w:rtl w:val="0"/>
        </w:rPr>
      </w:r>
    </w:p>
    <w:p w:rsidR="00000000" w:rsidDel="00000000" w:rsidP="00000000" w:rsidRDefault="00000000" w:rsidRPr="00000000" w14:paraId="0000003C">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Lumina — Transformation Tokens</w:t>
      </w:r>
      <w:r w:rsidDel="00000000" w:rsidR="00000000" w:rsidRPr="00000000">
        <w:rPr>
          <w:rtl w:val="0"/>
        </w:rPr>
      </w:r>
    </w:p>
    <w:p w:rsidR="00000000" w:rsidDel="00000000" w:rsidP="00000000" w:rsidRDefault="00000000" w:rsidRPr="00000000" w14:paraId="0000003D">
      <w:pPr>
        <w:spacing w:after="120" w:before="80" w:line="320" w:lineRule="auto"/>
        <w:jc w:val="both"/>
        <w:rPr/>
      </w:pPr>
      <w:r w:rsidDel="00000000" w:rsidR="00000000" w:rsidRPr="00000000">
        <w:rPr>
          <w:rFonts w:ascii="Arial" w:cs="Arial" w:eastAsia="Arial" w:hAnsi="Arial"/>
          <w:color w:val="111111"/>
          <w:sz w:val="22"/>
          <w:szCs w:val="22"/>
          <w:rtl w:val="0"/>
        </w:rPr>
        <w:t xml:space="preserve">Lumina comes from the Latin lumen, meaning light — specifically the light that fills a space, illuminates a room, or reveals what was previously in shadow. In Renaissance art, luminance described not the light source itself but the quality of light that transformed how a subject appeared. In optics, luminance is the measure of how much light reaches the eye — the subjective experience of brightness, not just its objective emission.</w:t>
      </w:r>
      <w:r w:rsidDel="00000000" w:rsidR="00000000" w:rsidRPr="00000000">
        <w:rPr>
          <w:rtl w:val="0"/>
        </w:rPr>
      </w:r>
    </w:p>
    <w:p w:rsidR="00000000" w:rsidDel="00000000" w:rsidP="00000000" w:rsidRDefault="00000000" w:rsidRPr="00000000" w14:paraId="0000003E">
      <w:pPr>
        <w:spacing w:after="0" w:before="160" w:lineRule="auto"/>
        <w:rPr/>
      </w:pPr>
      <w:r w:rsidDel="00000000" w:rsidR="00000000" w:rsidRPr="00000000">
        <w:rPr>
          <w:rtl w:val="0"/>
        </w:rPr>
      </w:r>
    </w:p>
    <w:p w:rsidR="00000000" w:rsidDel="00000000" w:rsidP="00000000" w:rsidRDefault="00000000" w:rsidRPr="00000000" w14:paraId="0000003F">
      <w:pPr>
        <w:spacing w:after="120" w:before="80" w:line="320" w:lineRule="auto"/>
        <w:jc w:val="both"/>
        <w:rPr/>
      </w:pPr>
      <w:r w:rsidDel="00000000" w:rsidR="00000000" w:rsidRPr="00000000">
        <w:rPr>
          <w:rFonts w:ascii="Arial" w:cs="Arial" w:eastAsia="Arial" w:hAnsi="Arial"/>
          <w:color w:val="111111"/>
          <w:sz w:val="22"/>
          <w:szCs w:val="22"/>
          <w:rtl w:val="0"/>
        </w:rPr>
        <w:t xml:space="preserve">Lumina tokens measure exactly this: not the activity of foresight, but the light it sheds inside the organization. When a leadership team begins framing decisions differently, when anxiety about uncertainty transforms into curiosity, when the language of strategic documents shifts from reactive to anticipatory — that is luminance. Something that was in shadow is now visible. The organization sees differently.</w:t>
      </w:r>
      <w:r w:rsidDel="00000000" w:rsidR="00000000" w:rsidRPr="00000000">
        <w:rPr>
          <w:rtl w:val="0"/>
        </w:rPr>
      </w:r>
    </w:p>
    <w:p w:rsidR="00000000" w:rsidDel="00000000" w:rsidP="00000000" w:rsidRDefault="00000000" w:rsidRPr="00000000" w14:paraId="00000040">
      <w:pPr>
        <w:spacing w:after="0" w:before="160" w:lineRule="auto"/>
        <w:rPr/>
      </w:pPr>
      <w:r w:rsidDel="00000000" w:rsidR="00000000" w:rsidRPr="00000000">
        <w:rPr>
          <w:rtl w:val="0"/>
        </w:rPr>
      </w:r>
    </w:p>
    <w:p w:rsidR="00000000" w:rsidDel="00000000" w:rsidP="00000000" w:rsidRDefault="00000000" w:rsidRPr="00000000" w14:paraId="00000041">
      <w:pPr>
        <w:spacing w:after="120" w:before="80" w:line="320" w:lineRule="auto"/>
        <w:jc w:val="both"/>
        <w:rPr/>
      </w:pPr>
      <w:r w:rsidDel="00000000" w:rsidR="00000000" w:rsidRPr="00000000">
        <w:rPr>
          <w:rFonts w:ascii="Arial" w:cs="Arial" w:eastAsia="Arial" w:hAnsi="Arial"/>
          <w:color w:val="111111"/>
          <w:sz w:val="22"/>
          <w:szCs w:val="22"/>
          <w:rtl w:val="0"/>
        </w:rPr>
        <w:t xml:space="preserve">Lumina are earned through demonstrable cognitive and cultural shifts: reductions in present-bias thinking, improvements in emotional granularity during futures discussions, documented changes in how organizational norms treat uncertainty. They require peer review and multi-source evidence, acknowledging that cultural change is harder to measure but no less real than activity.</w:t>
      </w:r>
      <w:r w:rsidDel="00000000" w:rsidR="00000000" w:rsidRPr="00000000">
        <w:rPr>
          <w:rtl w:val="0"/>
        </w:rPr>
      </w:r>
    </w:p>
    <w:p w:rsidR="00000000" w:rsidDel="00000000" w:rsidP="00000000" w:rsidRDefault="00000000" w:rsidRPr="00000000" w14:paraId="00000042">
      <w:pPr>
        <w:spacing w:after="0" w:before="160" w:lineRule="auto"/>
        <w:rPr/>
      </w:pPr>
      <w:r w:rsidDel="00000000" w:rsidR="00000000" w:rsidRPr="00000000">
        <w:rPr>
          <w:rtl w:val="0"/>
        </w:rPr>
      </w:r>
    </w:p>
    <w:p w:rsidR="00000000" w:rsidDel="00000000" w:rsidP="00000000" w:rsidRDefault="00000000" w:rsidRPr="00000000" w14:paraId="00000043">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Proba — Outcome Tokens</w:t>
      </w:r>
      <w:r w:rsidDel="00000000" w:rsidR="00000000" w:rsidRPr="00000000">
        <w:rPr>
          <w:rtl w:val="0"/>
        </w:rPr>
      </w:r>
    </w:p>
    <w:p w:rsidR="00000000" w:rsidDel="00000000" w:rsidP="00000000" w:rsidRDefault="00000000" w:rsidRPr="00000000" w14:paraId="00000044">
      <w:pPr>
        <w:spacing w:after="120" w:before="80" w:line="320" w:lineRule="auto"/>
        <w:jc w:val="both"/>
        <w:rPr/>
      </w:pPr>
      <w:r w:rsidDel="00000000" w:rsidR="00000000" w:rsidRPr="00000000">
        <w:rPr>
          <w:rFonts w:ascii="Arial" w:cs="Arial" w:eastAsia="Arial" w:hAnsi="Arial"/>
          <w:color w:val="111111"/>
          <w:sz w:val="22"/>
          <w:szCs w:val="22"/>
          <w:rtl w:val="0"/>
        </w:rPr>
        <w:t xml:space="preserve">Proba comes from the Latin probare: to prove, to test, to demonstrate through evidence. Its root is the same as “probity” (integrity proven through trial), “probe” (an instrument of examination), and “proof” itself. In Roman legal tradition, to probare a claim was to establish it beyond dispute through assembled evidence — not merely to assert it, but to demonstrate it under scrutiny.</w:t>
      </w:r>
      <w:r w:rsidDel="00000000" w:rsidR="00000000" w:rsidRPr="00000000">
        <w:rPr>
          <w:rtl w:val="0"/>
        </w:rPr>
      </w:r>
    </w:p>
    <w:p w:rsidR="00000000" w:rsidDel="00000000" w:rsidP="00000000" w:rsidRDefault="00000000" w:rsidRPr="00000000" w14:paraId="00000045">
      <w:pPr>
        <w:spacing w:after="0" w:before="160" w:lineRule="auto"/>
        <w:rPr/>
      </w:pPr>
      <w:r w:rsidDel="00000000" w:rsidR="00000000" w:rsidRPr="00000000">
        <w:rPr>
          <w:rtl w:val="0"/>
        </w:rPr>
      </w:r>
    </w:p>
    <w:p w:rsidR="00000000" w:rsidDel="00000000" w:rsidP="00000000" w:rsidRDefault="00000000" w:rsidRPr="00000000" w14:paraId="00000046">
      <w:pPr>
        <w:spacing w:after="120" w:before="80" w:line="320" w:lineRule="auto"/>
        <w:jc w:val="both"/>
        <w:rPr/>
      </w:pPr>
      <w:r w:rsidDel="00000000" w:rsidR="00000000" w:rsidRPr="00000000">
        <w:rPr>
          <w:rFonts w:ascii="Arial" w:cs="Arial" w:eastAsia="Arial" w:hAnsi="Arial"/>
          <w:color w:val="111111"/>
          <w:sz w:val="22"/>
          <w:szCs w:val="22"/>
          <w:rtl w:val="0"/>
        </w:rPr>
        <w:t xml:space="preserve">Proba tokens carry the highest evidentiary standard of the three. They are earned only when organizational performance changes can be documented and attributed, at least in part, to foresight investment. An organization that adapted faster than industry peers after an unexpected shock, that captured first-mover advantage by entering an emerging market ahead of competitors, or that avoided a strategic crisis that damaged similar organizations — these are Proba-worthy events.</w:t>
      </w:r>
      <w:r w:rsidDel="00000000" w:rsidR="00000000" w:rsidRPr="00000000">
        <w:rPr>
          <w:rtl w:val="0"/>
        </w:rPr>
      </w:r>
    </w:p>
    <w:p w:rsidR="00000000" w:rsidDel="00000000" w:rsidP="00000000" w:rsidRDefault="00000000" w:rsidRPr="00000000" w14:paraId="00000047">
      <w:pPr>
        <w:spacing w:after="0" w:before="160" w:lineRule="auto"/>
        <w:rPr/>
      </w:pPr>
      <w:r w:rsidDel="00000000" w:rsidR="00000000" w:rsidRPr="00000000">
        <w:rPr>
          <w:rtl w:val="0"/>
        </w:rPr>
      </w:r>
    </w:p>
    <w:p w:rsidR="00000000" w:rsidDel="00000000" w:rsidP="00000000" w:rsidRDefault="00000000" w:rsidRPr="00000000" w14:paraId="00000048">
      <w:pPr>
        <w:spacing w:after="120" w:before="80" w:line="320" w:lineRule="auto"/>
        <w:jc w:val="both"/>
        <w:rPr/>
      </w:pPr>
      <w:r w:rsidDel="00000000" w:rsidR="00000000" w:rsidRPr="00000000">
        <w:rPr>
          <w:rFonts w:ascii="Arial" w:cs="Arial" w:eastAsia="Arial" w:hAnsi="Arial"/>
          <w:color w:val="111111"/>
          <w:sz w:val="22"/>
          <w:szCs w:val="22"/>
          <w:rtl w:val="0"/>
        </w:rPr>
        <w:t xml:space="preserve">Because Proba are so difficult to earn, they also never decay. Demonstrated results remain on record permanently. An organization’s Proba history is its permanent, audited proof that foresight produced real-world advantage.</w:t>
      </w:r>
      <w:r w:rsidDel="00000000" w:rsidR="00000000" w:rsidRPr="00000000">
        <w:rPr>
          <w:rtl w:val="0"/>
        </w:rPr>
      </w:r>
    </w:p>
    <w:p w:rsidR="00000000" w:rsidDel="00000000" w:rsidP="00000000" w:rsidRDefault="00000000" w:rsidRPr="00000000" w14:paraId="00000049">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4. Token Types in Detail</w:t>
      </w:r>
      <w:r w:rsidDel="00000000" w:rsidR="00000000" w:rsidRPr="00000000">
        <w:rPr>
          <w:rtl w:val="0"/>
        </w:rPr>
      </w:r>
    </w:p>
    <w:p w:rsidR="00000000" w:rsidDel="00000000" w:rsidP="00000000" w:rsidRDefault="00000000" w:rsidRPr="00000000" w14:paraId="0000004A">
      <w:pPr>
        <w:spacing w:after="120" w:before="80" w:line="320" w:lineRule="auto"/>
        <w:jc w:val="both"/>
        <w:rPr/>
      </w:pPr>
      <w:r w:rsidDel="00000000" w:rsidR="00000000" w:rsidRPr="00000000">
        <w:rPr>
          <w:rFonts w:ascii="Arial" w:cs="Arial" w:eastAsia="Arial" w:hAnsi="Arial"/>
          <w:color w:val="111111"/>
          <w:sz w:val="22"/>
          <w:szCs w:val="22"/>
          <w:rtl w:val="0"/>
        </w:rPr>
        <w:t xml:space="preserve">Each of the three Qulux streams contains specific token subtypes, each with defined verification standards and values. What follows is a complete accounting of the current token taxonomy.</w:t>
      </w:r>
      <w:r w:rsidDel="00000000" w:rsidR="00000000" w:rsidRPr="00000000">
        <w:rPr>
          <w:rtl w:val="0"/>
        </w:rPr>
      </w:r>
    </w:p>
    <w:p w:rsidR="00000000" w:rsidDel="00000000" w:rsidP="00000000" w:rsidRDefault="00000000" w:rsidRPr="00000000" w14:paraId="0000004B">
      <w:pPr>
        <w:spacing w:after="0" w:before="160" w:lineRule="auto"/>
        <w:rPr/>
      </w:pPr>
      <w:r w:rsidDel="00000000" w:rsidR="00000000" w:rsidRPr="00000000">
        <w:rPr>
          <w:rtl w:val="0"/>
        </w:rPr>
      </w:r>
    </w:p>
    <w:p w:rsidR="00000000" w:rsidDel="00000000" w:rsidP="00000000" w:rsidRDefault="00000000" w:rsidRPr="00000000" w14:paraId="0000004C">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Tesera — Input Tokens</w:t>
      </w:r>
      <w:r w:rsidDel="00000000" w:rsidR="00000000" w:rsidRPr="00000000">
        <w:rPr>
          <w:rtl w:val="0"/>
        </w:rPr>
      </w:r>
    </w:p>
    <w:p w:rsidR="00000000" w:rsidDel="00000000" w:rsidP="00000000" w:rsidRDefault="00000000" w:rsidRPr="00000000" w14:paraId="0000004D">
      <w:pPr>
        <w:spacing w:after="80" w:before="200" w:lineRule="auto"/>
        <w:rPr/>
      </w:pPr>
      <w:r w:rsidDel="00000000" w:rsidR="00000000" w:rsidRPr="00000000">
        <w:rPr>
          <w:rFonts w:ascii="Arial" w:cs="Arial" w:eastAsia="Arial" w:hAnsi="Arial"/>
          <w:b w:val="1"/>
          <w:bCs w:val="1"/>
          <w:color w:val="1a2b4a"/>
          <w:sz w:val="22"/>
          <w:szCs w:val="22"/>
          <w:rtl w:val="0"/>
        </w:rPr>
        <w:t xml:space="preserve">Participation Tesera</w:t>
      </w:r>
      <w:r w:rsidDel="00000000" w:rsidR="00000000" w:rsidRPr="00000000">
        <w:rPr>
          <w:rtl w:val="0"/>
        </w:rPr>
      </w:r>
    </w:p>
    <w:p w:rsidR="00000000" w:rsidDel="00000000" w:rsidP="00000000" w:rsidRDefault="00000000" w:rsidRPr="00000000" w14:paraId="0000004E">
      <w:pPr>
        <w:spacing w:after="120" w:before="80" w:line="320" w:lineRule="auto"/>
        <w:jc w:val="both"/>
        <w:rPr/>
      </w:pPr>
      <w:r w:rsidDel="00000000" w:rsidR="00000000" w:rsidRPr="00000000">
        <w:rPr>
          <w:rFonts w:ascii="Arial" w:cs="Arial" w:eastAsia="Arial" w:hAnsi="Arial"/>
          <w:color w:val="111111"/>
          <w:sz w:val="22"/>
          <w:szCs w:val="22"/>
          <w:rtl w:val="0"/>
        </w:rPr>
        <w:t xml:space="preserve">Awarded when someone attends a futures workshop, completes a scenario exercise, or contributes to horizon scanning activities.</w:t>
      </w:r>
      <w:r w:rsidDel="00000000" w:rsidR="00000000" w:rsidRPr="00000000">
        <w:rPr>
          <w:rtl w:val="0"/>
        </w:rPr>
      </w:r>
    </w:p>
    <w:p w:rsidR="00000000" w:rsidDel="00000000" w:rsidP="00000000" w:rsidRDefault="00000000" w:rsidRPr="00000000" w14:paraId="0000004F">
      <w:pPr>
        <w:spacing w:after="120" w:before="80" w:line="320" w:lineRule="auto"/>
        <w:jc w:val="both"/>
        <w:rPr/>
      </w:pPr>
      <w:r w:rsidDel="00000000" w:rsidR="00000000" w:rsidRPr="00000000">
        <w:rPr>
          <w:rtl w:val="0"/>
        </w:rPr>
      </w:r>
    </w:p>
    <w:p w:rsidR="00000000" w:rsidDel="00000000" w:rsidP="00000000" w:rsidRDefault="00000000" w:rsidRPr="00000000" w14:paraId="00000050">
      <w:pPr>
        <w:spacing w:after="80" w:before="200" w:lineRule="auto"/>
        <w:rPr/>
      </w:pPr>
      <w:r w:rsidDel="00000000" w:rsidR="00000000" w:rsidRPr="00000000">
        <w:rPr>
          <w:rFonts w:ascii="Arial" w:cs="Arial" w:eastAsia="Arial" w:hAnsi="Arial"/>
          <w:b w:val="1"/>
          <w:bCs w:val="1"/>
          <w:color w:val="1a2b4a"/>
          <w:sz w:val="22"/>
          <w:szCs w:val="22"/>
          <w:rtl w:val="0"/>
        </w:rPr>
        <w:t xml:space="preserve">Signal Tesera</w:t>
      </w:r>
      <w:r w:rsidDel="00000000" w:rsidR="00000000" w:rsidRPr="00000000">
        <w:rPr>
          <w:rtl w:val="0"/>
        </w:rPr>
      </w:r>
    </w:p>
    <w:p w:rsidR="00000000" w:rsidDel="00000000" w:rsidP="00000000" w:rsidRDefault="00000000" w:rsidRPr="00000000" w14:paraId="00000051">
      <w:pPr>
        <w:spacing w:after="120" w:before="80" w:line="320" w:lineRule="auto"/>
        <w:jc w:val="both"/>
        <w:rPr/>
      </w:pPr>
      <w:r w:rsidDel="00000000" w:rsidR="00000000" w:rsidRPr="00000000">
        <w:rPr>
          <w:rFonts w:ascii="Arial" w:cs="Arial" w:eastAsia="Arial" w:hAnsi="Arial"/>
          <w:color w:val="111111"/>
          <w:sz w:val="22"/>
          <w:szCs w:val="22"/>
          <w:rtl w:val="0"/>
        </w:rPr>
        <w:t xml:space="preserve">Earned by identifying and logging weak signals — early indicators of emerging trends, disruptions, or opportunities that are not yet widely recognized.</w:t>
      </w:r>
      <w:r w:rsidDel="00000000" w:rsidR="00000000" w:rsidRPr="00000000">
        <w:rPr>
          <w:rtl w:val="0"/>
        </w:rPr>
      </w:r>
    </w:p>
    <w:p w:rsidR="00000000" w:rsidDel="00000000" w:rsidP="00000000" w:rsidRDefault="00000000" w:rsidRPr="00000000" w14:paraId="00000052">
      <w:pPr>
        <w:spacing w:after="120" w:before="80" w:line="320" w:lineRule="auto"/>
        <w:jc w:val="both"/>
        <w:rPr/>
      </w:pPr>
      <w:r w:rsidDel="00000000" w:rsidR="00000000" w:rsidRPr="00000000">
        <w:rPr>
          <w:rtl w:val="0"/>
        </w:rPr>
      </w:r>
    </w:p>
    <w:p w:rsidR="00000000" w:rsidDel="00000000" w:rsidP="00000000" w:rsidRDefault="00000000" w:rsidRPr="00000000" w14:paraId="00000053">
      <w:pPr>
        <w:spacing w:after="80" w:before="200" w:lineRule="auto"/>
        <w:rPr/>
      </w:pPr>
      <w:r w:rsidDel="00000000" w:rsidR="00000000" w:rsidRPr="00000000">
        <w:rPr>
          <w:rFonts w:ascii="Arial" w:cs="Arial" w:eastAsia="Arial" w:hAnsi="Arial"/>
          <w:b w:val="1"/>
          <w:bCs w:val="1"/>
          <w:color w:val="1a2b4a"/>
          <w:sz w:val="22"/>
          <w:szCs w:val="22"/>
          <w:rtl w:val="0"/>
        </w:rPr>
        <w:t xml:space="preserve">Scenario Tesera</w:t>
      </w:r>
      <w:r w:rsidDel="00000000" w:rsidR="00000000" w:rsidRPr="00000000">
        <w:rPr>
          <w:rtl w:val="0"/>
        </w:rPr>
      </w:r>
    </w:p>
    <w:p w:rsidR="00000000" w:rsidDel="00000000" w:rsidP="00000000" w:rsidRDefault="00000000" w:rsidRPr="00000000" w14:paraId="00000054">
      <w:pPr>
        <w:spacing w:after="120" w:before="80" w:line="320" w:lineRule="auto"/>
        <w:jc w:val="both"/>
        <w:rPr/>
      </w:pPr>
      <w:r w:rsidDel="00000000" w:rsidR="00000000" w:rsidRPr="00000000">
        <w:rPr>
          <w:rFonts w:ascii="Arial" w:cs="Arial" w:eastAsia="Arial" w:hAnsi="Arial"/>
          <w:color w:val="111111"/>
          <w:sz w:val="22"/>
          <w:szCs w:val="22"/>
          <w:rtl w:val="0"/>
        </w:rPr>
        <w:t xml:space="preserve">Earned by developing or making substantive contributions to scenario frameworks that model plausible futures and inform strategic planning.</w:t>
      </w:r>
      <w:r w:rsidDel="00000000" w:rsidR="00000000" w:rsidRPr="00000000">
        <w:rPr>
          <w:rtl w:val="0"/>
        </w:rPr>
      </w:r>
    </w:p>
    <w:p w:rsidR="00000000" w:rsidDel="00000000" w:rsidP="00000000" w:rsidRDefault="00000000" w:rsidRPr="00000000" w14:paraId="00000055">
      <w:pPr>
        <w:spacing w:after="0" w:before="80" w:lineRule="auto"/>
        <w:rPr/>
      </w:pPr>
      <w:r w:rsidDel="00000000" w:rsidR="00000000" w:rsidRPr="00000000">
        <w:rPr>
          <w:rtl w:val="0"/>
        </w:rPr>
      </w:r>
    </w:p>
    <w:p w:rsidR="00000000" w:rsidDel="00000000" w:rsidP="00000000" w:rsidRDefault="00000000" w:rsidRPr="00000000" w14:paraId="00000056">
      <w:pPr>
        <w:spacing w:after="80" w:before="200" w:lineRule="auto"/>
        <w:rPr/>
      </w:pPr>
      <w:r w:rsidDel="00000000" w:rsidR="00000000" w:rsidRPr="00000000">
        <w:rPr>
          <w:rFonts w:ascii="Arial" w:cs="Arial" w:eastAsia="Arial" w:hAnsi="Arial"/>
          <w:b w:val="1"/>
          <w:bCs w:val="1"/>
          <w:color w:val="1a2b4a"/>
          <w:sz w:val="22"/>
          <w:szCs w:val="22"/>
          <w:rtl w:val="0"/>
        </w:rPr>
        <w:t xml:space="preserve">Cross-Functional Tesera</w:t>
      </w:r>
      <w:r w:rsidDel="00000000" w:rsidR="00000000" w:rsidRPr="00000000">
        <w:rPr>
          <w:rtl w:val="0"/>
        </w:rPr>
      </w:r>
    </w:p>
    <w:p w:rsidR="00000000" w:rsidDel="00000000" w:rsidP="00000000" w:rsidRDefault="00000000" w:rsidRPr="00000000" w14:paraId="00000057">
      <w:pPr>
        <w:spacing w:after="120" w:before="80" w:line="320" w:lineRule="auto"/>
        <w:jc w:val="both"/>
        <w:rPr/>
      </w:pPr>
      <w:r w:rsidDel="00000000" w:rsidR="00000000" w:rsidRPr="00000000">
        <w:rPr>
          <w:rFonts w:ascii="Arial" w:cs="Arial" w:eastAsia="Arial" w:hAnsi="Arial"/>
          <w:color w:val="111111"/>
          <w:sz w:val="22"/>
          <w:szCs w:val="22"/>
          <w:rtl w:val="0"/>
        </w:rPr>
        <w:t xml:space="preserve">Earned when foresight activities bridge organizational silos, bringing together perspectives from across departments and functions.</w:t>
      </w:r>
      <w:r w:rsidDel="00000000" w:rsidR="00000000" w:rsidRPr="00000000">
        <w:rPr>
          <w:rtl w:val="0"/>
        </w:rPr>
      </w:r>
    </w:p>
    <w:p w:rsidR="00000000" w:rsidDel="00000000" w:rsidP="00000000" w:rsidRDefault="00000000" w:rsidRPr="00000000" w14:paraId="00000058">
      <w:pPr>
        <w:spacing w:after="0" w:before="160" w:lineRule="auto"/>
        <w:jc w:val="center"/>
        <w:rPr/>
      </w:pPr>
      <w:r w:rsidDel="00000000" w:rsidR="00000000" w:rsidRPr="00000000">
        <w:rPr/>
        <w:drawing>
          <wp:inline distB="114300" distT="114300" distL="114300" distR="114300">
            <wp:extent cx="2519363" cy="251936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19363"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Lumina — Transformation Tokens</w:t>
      </w:r>
      <w:r w:rsidDel="00000000" w:rsidR="00000000" w:rsidRPr="00000000">
        <w:rPr>
          <w:rtl w:val="0"/>
        </w:rPr>
      </w:r>
    </w:p>
    <w:p w:rsidR="00000000" w:rsidDel="00000000" w:rsidP="00000000" w:rsidRDefault="00000000" w:rsidRPr="00000000" w14:paraId="0000005A">
      <w:pPr>
        <w:spacing w:after="80" w:before="200" w:lineRule="auto"/>
        <w:rPr/>
      </w:pPr>
      <w:r w:rsidDel="00000000" w:rsidR="00000000" w:rsidRPr="00000000">
        <w:rPr>
          <w:rFonts w:ascii="Arial" w:cs="Arial" w:eastAsia="Arial" w:hAnsi="Arial"/>
          <w:b w:val="1"/>
          <w:bCs w:val="1"/>
          <w:color w:val="1a2b4a"/>
          <w:sz w:val="22"/>
          <w:szCs w:val="22"/>
          <w:rtl w:val="0"/>
        </w:rPr>
        <w:t xml:space="preserve">Cognitive Shift Lumina</w:t>
      </w:r>
      <w:r w:rsidDel="00000000" w:rsidR="00000000" w:rsidRPr="00000000">
        <w:rPr>
          <w:rtl w:val="0"/>
        </w:rPr>
      </w:r>
    </w:p>
    <w:p w:rsidR="00000000" w:rsidDel="00000000" w:rsidP="00000000" w:rsidRDefault="00000000" w:rsidRPr="00000000" w14:paraId="0000005B">
      <w:pPr>
        <w:spacing w:after="120" w:before="80" w:line="320" w:lineRule="auto"/>
        <w:jc w:val="both"/>
        <w:rPr/>
      </w:pPr>
      <w:r w:rsidDel="00000000" w:rsidR="00000000" w:rsidRPr="00000000">
        <w:rPr>
          <w:rFonts w:ascii="Arial" w:cs="Arial" w:eastAsia="Arial" w:hAnsi="Arial"/>
          <w:color w:val="111111"/>
          <w:sz w:val="22"/>
          <w:szCs w:val="22"/>
          <w:rtl w:val="0"/>
        </w:rPr>
        <w:t xml:space="preserve">Awarded when decision-making frameworks demonstrably change — when the organization’s thinking about the future becomes structurally different, not just incrementally more informed.</w:t>
      </w:r>
      <w:r w:rsidDel="00000000" w:rsidR="00000000" w:rsidRPr="00000000">
        <w:rPr>
          <w:rtl w:val="0"/>
        </w:rPr>
      </w:r>
    </w:p>
    <w:p w:rsidR="00000000" w:rsidDel="00000000" w:rsidP="00000000" w:rsidRDefault="00000000" w:rsidRPr="00000000" w14:paraId="0000005C">
      <w:pPr>
        <w:spacing w:after="120" w:before="80" w:line="320" w:lineRule="auto"/>
        <w:jc w:val="both"/>
        <w:rPr/>
      </w:pPr>
      <w:r w:rsidDel="00000000" w:rsidR="00000000" w:rsidRPr="00000000">
        <w:rPr>
          <w:rtl w:val="0"/>
        </w:rPr>
      </w:r>
    </w:p>
    <w:p w:rsidR="00000000" w:rsidDel="00000000" w:rsidP="00000000" w:rsidRDefault="00000000" w:rsidRPr="00000000" w14:paraId="0000005D">
      <w:pPr>
        <w:spacing w:after="120" w:before="80" w:line="320" w:lineRule="auto"/>
        <w:jc w:val="both"/>
        <w:rPr/>
      </w:pPr>
      <w:r w:rsidDel="00000000" w:rsidR="00000000" w:rsidRPr="00000000">
        <w:rPr>
          <w:rtl w:val="0"/>
        </w:rPr>
      </w:r>
    </w:p>
    <w:p w:rsidR="00000000" w:rsidDel="00000000" w:rsidP="00000000" w:rsidRDefault="00000000" w:rsidRPr="00000000" w14:paraId="0000005E">
      <w:pPr>
        <w:spacing w:after="0" w:before="80" w:lineRule="auto"/>
        <w:rPr/>
      </w:pPr>
      <w:r w:rsidDel="00000000" w:rsidR="00000000" w:rsidRPr="00000000">
        <w:rPr>
          <w:rtl w:val="0"/>
        </w:rPr>
      </w:r>
    </w:p>
    <w:p w:rsidR="00000000" w:rsidDel="00000000" w:rsidP="00000000" w:rsidRDefault="00000000" w:rsidRPr="00000000" w14:paraId="0000005F">
      <w:pPr>
        <w:spacing w:after="80" w:before="200" w:lineRule="auto"/>
        <w:rPr/>
      </w:pPr>
      <w:r w:rsidDel="00000000" w:rsidR="00000000" w:rsidRPr="00000000">
        <w:rPr>
          <w:rFonts w:ascii="Arial" w:cs="Arial" w:eastAsia="Arial" w:hAnsi="Arial"/>
          <w:b w:val="1"/>
          <w:bCs w:val="1"/>
          <w:color w:val="1a2b4a"/>
          <w:sz w:val="22"/>
          <w:szCs w:val="22"/>
          <w:rtl w:val="0"/>
        </w:rPr>
        <w:t xml:space="preserve">Cultural Adaptation Lumina</w:t>
      </w:r>
      <w:r w:rsidDel="00000000" w:rsidR="00000000" w:rsidRPr="00000000">
        <w:rPr>
          <w:rtl w:val="0"/>
        </w:rPr>
      </w:r>
    </w:p>
    <w:p w:rsidR="00000000" w:rsidDel="00000000" w:rsidP="00000000" w:rsidRDefault="00000000" w:rsidRPr="00000000" w14:paraId="00000060">
      <w:pPr>
        <w:spacing w:after="120" w:before="80" w:line="320" w:lineRule="auto"/>
        <w:jc w:val="both"/>
        <w:rPr/>
      </w:pPr>
      <w:r w:rsidDel="00000000" w:rsidR="00000000" w:rsidRPr="00000000">
        <w:rPr>
          <w:rFonts w:ascii="Arial" w:cs="Arial" w:eastAsia="Arial" w:hAnsi="Arial"/>
          <w:color w:val="111111"/>
          <w:sz w:val="22"/>
          <w:szCs w:val="22"/>
          <w:rtl w:val="0"/>
        </w:rPr>
        <w:t xml:space="preserve">Earned when organizational norms around uncertainty evolve — when people at all levels become more comfortable holding multiple futures simultaneously, and when threat responses to uncertainty measurably decrease.</w:t>
      </w:r>
      <w:r w:rsidDel="00000000" w:rsidR="00000000" w:rsidRPr="00000000">
        <w:rPr>
          <w:rtl w:val="0"/>
        </w:rPr>
      </w:r>
    </w:p>
    <w:p w:rsidR="00000000" w:rsidDel="00000000" w:rsidP="00000000" w:rsidRDefault="00000000" w:rsidRPr="00000000" w14:paraId="00000061">
      <w:pPr>
        <w:spacing w:after="120" w:before="80" w:line="320" w:lineRule="auto"/>
        <w:jc w:val="both"/>
        <w:rPr/>
      </w:pPr>
      <w:r w:rsidDel="00000000" w:rsidR="00000000" w:rsidRPr="00000000">
        <w:rPr>
          <w:rtl w:val="0"/>
        </w:rPr>
      </w:r>
    </w:p>
    <w:p w:rsidR="00000000" w:rsidDel="00000000" w:rsidP="00000000" w:rsidRDefault="00000000" w:rsidRPr="00000000" w14:paraId="00000062">
      <w:pPr>
        <w:spacing w:after="120" w:before="80" w:line="320" w:lineRule="auto"/>
        <w:jc w:val="both"/>
        <w:rPr/>
      </w:pPr>
      <w:r w:rsidDel="00000000" w:rsidR="00000000" w:rsidRPr="00000000">
        <w:rPr>
          <w:rtl w:val="0"/>
        </w:rPr>
      </w:r>
    </w:p>
    <w:p w:rsidR="00000000" w:rsidDel="00000000" w:rsidP="00000000" w:rsidRDefault="00000000" w:rsidRPr="00000000" w14:paraId="00000063">
      <w:pPr>
        <w:spacing w:after="0" w:before="80" w:lineRule="auto"/>
        <w:rPr/>
      </w:pPr>
      <w:r w:rsidDel="00000000" w:rsidR="00000000" w:rsidRPr="00000000">
        <w:rPr>
          <w:rtl w:val="0"/>
        </w:rPr>
      </w:r>
    </w:p>
    <w:p w:rsidR="00000000" w:rsidDel="00000000" w:rsidP="00000000" w:rsidRDefault="00000000" w:rsidRPr="00000000" w14:paraId="00000064">
      <w:pPr>
        <w:spacing w:after="80" w:before="200" w:lineRule="auto"/>
        <w:rPr/>
      </w:pPr>
      <w:r w:rsidDel="00000000" w:rsidR="00000000" w:rsidRPr="00000000">
        <w:rPr>
          <w:rFonts w:ascii="Arial" w:cs="Arial" w:eastAsia="Arial" w:hAnsi="Arial"/>
          <w:b w:val="1"/>
          <w:bCs w:val="1"/>
          <w:color w:val="1a2b4a"/>
          <w:sz w:val="22"/>
          <w:szCs w:val="22"/>
          <w:rtl w:val="0"/>
        </w:rPr>
        <w:t xml:space="preserve">Emotional Intelligence Lumina</w:t>
      </w:r>
      <w:r w:rsidDel="00000000" w:rsidR="00000000" w:rsidRPr="00000000">
        <w:rPr>
          <w:rtl w:val="0"/>
        </w:rPr>
      </w:r>
    </w:p>
    <w:p w:rsidR="00000000" w:rsidDel="00000000" w:rsidP="00000000" w:rsidRDefault="00000000" w:rsidRPr="00000000" w14:paraId="00000065">
      <w:pPr>
        <w:spacing w:after="120" w:before="80" w:line="320" w:lineRule="auto"/>
        <w:jc w:val="both"/>
        <w:rPr/>
      </w:pPr>
      <w:r w:rsidDel="00000000" w:rsidR="00000000" w:rsidRPr="00000000">
        <w:rPr>
          <w:rFonts w:ascii="Arial" w:cs="Arial" w:eastAsia="Arial" w:hAnsi="Arial"/>
          <w:color w:val="111111"/>
          <w:sz w:val="22"/>
          <w:szCs w:val="22"/>
          <w:rtl w:val="0"/>
        </w:rPr>
        <w:t xml:space="preserve">Earned through measured improvements in emotional granularity during futures work — the capacity to move beyond undifferentiated fear or excitement and engage with specific, nuanced emotional responses to uncertainty.</w:t>
      </w:r>
      <w:r w:rsidDel="00000000" w:rsidR="00000000" w:rsidRPr="00000000">
        <w:rPr>
          <w:rtl w:val="0"/>
        </w:rPr>
      </w:r>
    </w:p>
    <w:p w:rsidR="00000000" w:rsidDel="00000000" w:rsidP="00000000" w:rsidRDefault="00000000" w:rsidRPr="00000000" w14:paraId="00000066">
      <w:pPr>
        <w:pStyle w:val="Heading2"/>
        <w:spacing w:after="120" w:before="280" w:lineRule="auto"/>
        <w:jc w:val="center"/>
        <w:rPr/>
      </w:pPr>
      <w:r w:rsidDel="00000000" w:rsidR="00000000" w:rsidRPr="00000000">
        <w:rPr/>
        <w:drawing>
          <wp:inline distB="114300" distT="114300" distL="114300" distR="114300">
            <wp:extent cx="3005138" cy="3005138"/>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05138" cy="300513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Style w:val="Heading2"/>
        <w:spacing w:after="120" w:before="280" w:lineRule="auto"/>
        <w:rPr/>
      </w:pPr>
      <w:r w:rsidDel="00000000" w:rsidR="00000000" w:rsidRPr="00000000">
        <w:rPr>
          <w:rtl w:val="0"/>
        </w:rPr>
      </w:r>
    </w:p>
    <w:p w:rsidR="00000000" w:rsidDel="00000000" w:rsidP="00000000" w:rsidRDefault="00000000" w:rsidRPr="00000000" w14:paraId="00000068">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Proba — Outcome Tokens</w:t>
      </w:r>
      <w:r w:rsidDel="00000000" w:rsidR="00000000" w:rsidRPr="00000000">
        <w:rPr>
          <w:rtl w:val="0"/>
        </w:rPr>
      </w:r>
    </w:p>
    <w:p w:rsidR="00000000" w:rsidDel="00000000" w:rsidP="00000000" w:rsidRDefault="00000000" w:rsidRPr="00000000" w14:paraId="00000069">
      <w:pPr>
        <w:spacing w:after="80" w:before="200" w:lineRule="auto"/>
        <w:rPr/>
      </w:pPr>
      <w:r w:rsidDel="00000000" w:rsidR="00000000" w:rsidRPr="00000000">
        <w:rPr>
          <w:rFonts w:ascii="Arial" w:cs="Arial" w:eastAsia="Arial" w:hAnsi="Arial"/>
          <w:b w:val="1"/>
          <w:bCs w:val="1"/>
          <w:color w:val="1a2b4a"/>
          <w:sz w:val="22"/>
          <w:szCs w:val="22"/>
          <w:rtl w:val="0"/>
        </w:rPr>
        <w:t xml:space="preserve">Resilience Proba</w:t>
      </w:r>
      <w:r w:rsidDel="00000000" w:rsidR="00000000" w:rsidRPr="00000000">
        <w:rPr>
          <w:rtl w:val="0"/>
        </w:rPr>
      </w:r>
    </w:p>
    <w:p w:rsidR="00000000" w:rsidDel="00000000" w:rsidP="00000000" w:rsidRDefault="00000000" w:rsidRPr="00000000" w14:paraId="0000006A">
      <w:pPr>
        <w:spacing w:after="120" w:before="80" w:line="320" w:lineRule="auto"/>
        <w:jc w:val="both"/>
        <w:rPr/>
      </w:pPr>
      <w:r w:rsidDel="00000000" w:rsidR="00000000" w:rsidRPr="00000000">
        <w:rPr>
          <w:rFonts w:ascii="Arial" w:cs="Arial" w:eastAsia="Arial" w:hAnsi="Arial"/>
          <w:color w:val="111111"/>
          <w:sz w:val="22"/>
          <w:szCs w:val="22"/>
          <w:rtl w:val="0"/>
        </w:rPr>
        <w:t xml:space="preserve">Awarded when the organization adapts faster than its baseline performance to unexpected events — demonstrating that foresight investment has created genuine organizational flexibility.</w:t>
      </w:r>
      <w:r w:rsidDel="00000000" w:rsidR="00000000" w:rsidRPr="00000000">
        <w:rPr>
          <w:rtl w:val="0"/>
        </w:rPr>
      </w:r>
    </w:p>
    <w:p w:rsidR="00000000" w:rsidDel="00000000" w:rsidP="00000000" w:rsidRDefault="00000000" w:rsidRPr="00000000" w14:paraId="0000006B">
      <w:pPr>
        <w:spacing w:after="120" w:before="80" w:line="320" w:lineRule="auto"/>
        <w:jc w:val="both"/>
        <w:rPr/>
      </w:pPr>
      <w:r w:rsidDel="00000000" w:rsidR="00000000" w:rsidRPr="00000000">
        <w:rPr>
          <w:rtl w:val="0"/>
        </w:rPr>
      </w:r>
    </w:p>
    <w:p w:rsidR="00000000" w:rsidDel="00000000" w:rsidP="00000000" w:rsidRDefault="00000000" w:rsidRPr="00000000" w14:paraId="0000006C">
      <w:pPr>
        <w:spacing w:after="80" w:before="200" w:lineRule="auto"/>
        <w:rPr/>
      </w:pPr>
      <w:r w:rsidDel="00000000" w:rsidR="00000000" w:rsidRPr="00000000">
        <w:rPr>
          <w:rFonts w:ascii="Arial" w:cs="Arial" w:eastAsia="Arial" w:hAnsi="Arial"/>
          <w:b w:val="1"/>
          <w:bCs w:val="1"/>
          <w:color w:val="1a2b4a"/>
          <w:sz w:val="22"/>
          <w:szCs w:val="22"/>
          <w:rtl w:val="0"/>
        </w:rPr>
        <w:t xml:space="preserve">Strategic Timing Proba</w:t>
      </w:r>
      <w:r w:rsidDel="00000000" w:rsidR="00000000" w:rsidRPr="00000000">
        <w:rPr>
          <w:rtl w:val="0"/>
        </w:rPr>
      </w:r>
    </w:p>
    <w:p w:rsidR="00000000" w:rsidDel="00000000" w:rsidP="00000000" w:rsidRDefault="00000000" w:rsidRPr="00000000" w14:paraId="0000006D">
      <w:pPr>
        <w:spacing w:after="120" w:before="80" w:line="320" w:lineRule="auto"/>
        <w:jc w:val="both"/>
        <w:rPr/>
      </w:pPr>
      <w:r w:rsidDel="00000000" w:rsidR="00000000" w:rsidRPr="00000000">
        <w:rPr>
          <w:rFonts w:ascii="Arial" w:cs="Arial" w:eastAsia="Arial" w:hAnsi="Arial"/>
          <w:color w:val="111111"/>
          <w:sz w:val="22"/>
          <w:szCs w:val="22"/>
          <w:rtl w:val="0"/>
        </w:rPr>
        <w:t xml:space="preserve">Earned when the organization enters markets, launches products, or pivots strategy with demonstrably better timing than competitors — capturing early-mover advantages that can be traced to foresight work.</w:t>
      </w:r>
      <w:r w:rsidDel="00000000" w:rsidR="00000000" w:rsidRPr="00000000">
        <w:rPr>
          <w:rtl w:val="0"/>
        </w:rPr>
      </w:r>
    </w:p>
    <w:p w:rsidR="00000000" w:rsidDel="00000000" w:rsidP="00000000" w:rsidRDefault="00000000" w:rsidRPr="00000000" w14:paraId="0000006E">
      <w:pPr>
        <w:spacing w:after="120" w:before="80" w:line="320" w:lineRule="auto"/>
        <w:jc w:val="both"/>
        <w:rPr/>
      </w:pPr>
      <w:r w:rsidDel="00000000" w:rsidR="00000000" w:rsidRPr="00000000">
        <w:rPr>
          <w:rtl w:val="0"/>
        </w:rPr>
      </w:r>
    </w:p>
    <w:p w:rsidR="00000000" w:rsidDel="00000000" w:rsidP="00000000" w:rsidRDefault="00000000" w:rsidRPr="00000000" w14:paraId="0000006F">
      <w:pPr>
        <w:spacing w:after="80" w:before="200" w:lineRule="auto"/>
        <w:rPr/>
      </w:pPr>
      <w:r w:rsidDel="00000000" w:rsidR="00000000" w:rsidRPr="00000000">
        <w:rPr>
          <w:rFonts w:ascii="Arial" w:cs="Arial" w:eastAsia="Arial" w:hAnsi="Arial"/>
          <w:b w:val="1"/>
          <w:bCs w:val="1"/>
          <w:color w:val="1a2b4a"/>
          <w:sz w:val="22"/>
          <w:szCs w:val="22"/>
          <w:rtl w:val="0"/>
        </w:rPr>
        <w:t xml:space="preserve">Avoided Crisis Proba</w:t>
      </w:r>
      <w:r w:rsidDel="00000000" w:rsidR="00000000" w:rsidRPr="00000000">
        <w:rPr>
          <w:rtl w:val="0"/>
        </w:rPr>
      </w:r>
    </w:p>
    <w:p w:rsidR="00000000" w:rsidDel="00000000" w:rsidP="00000000" w:rsidRDefault="00000000" w:rsidRPr="00000000" w14:paraId="00000070">
      <w:pPr>
        <w:spacing w:after="120" w:before="80" w:line="320" w:lineRule="auto"/>
        <w:jc w:val="both"/>
        <w:rPr/>
      </w:pPr>
      <w:r w:rsidDel="00000000" w:rsidR="00000000" w:rsidRPr="00000000">
        <w:rPr>
          <w:rFonts w:ascii="Arial" w:cs="Arial" w:eastAsia="Arial" w:hAnsi="Arial"/>
          <w:color w:val="111111"/>
          <w:sz w:val="22"/>
          <w:szCs w:val="22"/>
          <w:rtl w:val="0"/>
        </w:rPr>
        <w:t xml:space="preserve">The most powerful token in the system. Awarded when the organization demonstrably avoided a negative outcome that affected peer organizations, with a documented chain of evidence linking foresight work to the protective action taken.</w:t>
      </w:r>
      <w:r w:rsidDel="00000000" w:rsidR="00000000" w:rsidRPr="00000000">
        <w:rPr>
          <w:rtl w:val="0"/>
        </w:rPr>
      </w:r>
    </w:p>
    <w:p w:rsidR="00000000" w:rsidDel="00000000" w:rsidP="00000000" w:rsidRDefault="00000000" w:rsidRPr="00000000" w14:paraId="00000071">
      <w:pPr>
        <w:spacing w:after="120" w:before="80" w:line="320" w:lineRule="auto"/>
        <w:jc w:val="both"/>
        <w:rPr/>
      </w:pPr>
      <w:r w:rsidDel="00000000" w:rsidR="00000000" w:rsidRPr="00000000">
        <w:rPr>
          <w:rtl w:val="0"/>
        </w:rPr>
      </w:r>
    </w:p>
    <w:p w:rsidR="00000000" w:rsidDel="00000000" w:rsidP="00000000" w:rsidRDefault="00000000" w:rsidRPr="00000000" w14:paraId="00000072">
      <w:pPr>
        <w:pStyle w:val="Heading1"/>
        <w:pBdr>
          <w:bottom w:color="c8962e" w:space="6" w:sz="4" w:val="single"/>
        </w:pBdr>
        <w:spacing w:after="160" w:before="360" w:lineRule="auto"/>
        <w:jc w:val="center"/>
        <w:rPr/>
      </w:pPr>
      <w:r w:rsidDel="00000000" w:rsidR="00000000" w:rsidRPr="00000000">
        <w:rPr/>
        <w:drawing>
          <wp:inline distB="114300" distT="114300" distL="114300" distR="114300">
            <wp:extent cx="2965934" cy="2965934"/>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65934" cy="296593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74">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75">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5. Why Qulux Should Be Central to Any Foresight Practice</w:t>
      </w:r>
      <w:r w:rsidDel="00000000" w:rsidR="00000000" w:rsidRPr="00000000">
        <w:rPr>
          <w:rtl w:val="0"/>
        </w:rPr>
      </w:r>
    </w:p>
    <w:p w:rsidR="00000000" w:rsidDel="00000000" w:rsidP="00000000" w:rsidRDefault="00000000" w:rsidRPr="00000000" w14:paraId="00000076">
      <w:pPr>
        <w:spacing w:after="120" w:before="80" w:line="320" w:lineRule="auto"/>
        <w:jc w:val="both"/>
        <w:rPr/>
      </w:pPr>
      <w:r w:rsidDel="00000000" w:rsidR="00000000" w:rsidRPr="00000000">
        <w:rPr>
          <w:rFonts w:ascii="Arial" w:cs="Arial" w:eastAsia="Arial" w:hAnsi="Arial"/>
          <w:color w:val="111111"/>
          <w:sz w:val="22"/>
          <w:szCs w:val="22"/>
          <w:rtl w:val="0"/>
        </w:rPr>
        <w:t xml:space="preserve">Some practitioners ask whether introducing a measurement system into foresight work risks reducing its richness — turning something fundamentally qualitative and exploratory into a box-ticking exercise. This concern is legitimate and worth taking seriously. But the Qulux architecture was designed specifically to avoid this failure mode, and we believe it actually strengthens foresight practice rather than diminishing it.</w:t>
      </w:r>
      <w:r w:rsidDel="00000000" w:rsidR="00000000" w:rsidRPr="00000000">
        <w:rPr>
          <w:rtl w:val="0"/>
        </w:rPr>
      </w:r>
    </w:p>
    <w:p w:rsidR="00000000" w:rsidDel="00000000" w:rsidP="00000000" w:rsidRDefault="00000000" w:rsidRPr="00000000" w14:paraId="00000077">
      <w:pPr>
        <w:spacing w:after="0" w:before="160" w:lineRule="auto"/>
        <w:rPr/>
      </w:pPr>
      <w:r w:rsidDel="00000000" w:rsidR="00000000" w:rsidRPr="00000000">
        <w:rPr>
          <w:rtl w:val="0"/>
        </w:rPr>
      </w:r>
    </w:p>
    <w:p w:rsidR="00000000" w:rsidDel="00000000" w:rsidP="00000000" w:rsidRDefault="00000000" w:rsidRPr="00000000" w14:paraId="00000078">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It Makes the Invisible Visible — Internally</w:t>
      </w:r>
      <w:r w:rsidDel="00000000" w:rsidR="00000000" w:rsidRPr="00000000">
        <w:rPr>
          <w:rtl w:val="0"/>
        </w:rPr>
      </w:r>
    </w:p>
    <w:p w:rsidR="00000000" w:rsidDel="00000000" w:rsidP="00000000" w:rsidRDefault="00000000" w:rsidRPr="00000000" w14:paraId="00000079">
      <w:pPr>
        <w:spacing w:after="120" w:before="80" w:line="320" w:lineRule="auto"/>
        <w:jc w:val="both"/>
        <w:rPr/>
      </w:pPr>
      <w:r w:rsidDel="00000000" w:rsidR="00000000" w:rsidRPr="00000000">
        <w:rPr>
          <w:rFonts w:ascii="Arial" w:cs="Arial" w:eastAsia="Arial" w:hAnsi="Arial"/>
          <w:color w:val="111111"/>
          <w:sz w:val="22"/>
          <w:szCs w:val="22"/>
          <w:rtl w:val="0"/>
        </w:rPr>
        <w:t xml:space="preserve">One of the most common reasons foresight programs fade is not that they stop producing value, but that the people running them cannot point to the value they’ve produced. Qulux gives practitioners a language for the progress that is otherwise invisible: the slow shift in how a leadership team talks about uncertainty, the accumulating breadth of scenarios in an organization’s collective memory, the growing roster of individuals who have internalized futures thinking as a core professional skill.</w:t>
      </w:r>
      <w:r w:rsidDel="00000000" w:rsidR="00000000" w:rsidRPr="00000000">
        <w:rPr>
          <w:rtl w:val="0"/>
        </w:rPr>
      </w:r>
    </w:p>
    <w:p w:rsidR="00000000" w:rsidDel="00000000" w:rsidP="00000000" w:rsidRDefault="00000000" w:rsidRPr="00000000" w14:paraId="0000007A">
      <w:pPr>
        <w:spacing w:after="0" w:before="160" w:lineRule="auto"/>
        <w:rPr/>
      </w:pPr>
      <w:r w:rsidDel="00000000" w:rsidR="00000000" w:rsidRPr="00000000">
        <w:rPr>
          <w:rtl w:val="0"/>
        </w:rPr>
      </w:r>
    </w:p>
    <w:p w:rsidR="00000000" w:rsidDel="00000000" w:rsidP="00000000" w:rsidRDefault="00000000" w:rsidRPr="00000000" w14:paraId="0000007B">
      <w:pPr>
        <w:spacing w:after="120" w:before="80" w:line="320" w:lineRule="auto"/>
        <w:jc w:val="both"/>
        <w:rPr/>
      </w:pPr>
      <w:r w:rsidDel="00000000" w:rsidR="00000000" w:rsidRPr="00000000">
        <w:rPr>
          <w:rFonts w:ascii="Arial" w:cs="Arial" w:eastAsia="Arial" w:hAnsi="Arial"/>
          <w:color w:val="111111"/>
          <w:sz w:val="22"/>
          <w:szCs w:val="22"/>
          <w:rtl w:val="0"/>
        </w:rPr>
        <w:t xml:space="preserve">With a Qulux profile in hand, a Chief Foresight Officer can walk into a budget meeting and show not just what the team has done, but what it has changed, and what it has protected the organization from. That is a fundamentally different conversation.</w:t>
      </w:r>
      <w:r w:rsidDel="00000000" w:rsidR="00000000" w:rsidRPr="00000000">
        <w:rPr>
          <w:rtl w:val="0"/>
        </w:rPr>
      </w:r>
    </w:p>
    <w:p w:rsidR="00000000" w:rsidDel="00000000" w:rsidP="00000000" w:rsidRDefault="00000000" w:rsidRPr="00000000" w14:paraId="0000007C">
      <w:pPr>
        <w:spacing w:after="0" w:before="160" w:lineRule="auto"/>
        <w:rPr/>
      </w:pPr>
      <w:r w:rsidDel="00000000" w:rsidR="00000000" w:rsidRPr="00000000">
        <w:rPr>
          <w:rtl w:val="0"/>
        </w:rPr>
      </w:r>
    </w:p>
    <w:p w:rsidR="00000000" w:rsidDel="00000000" w:rsidP="00000000" w:rsidRDefault="00000000" w:rsidRPr="00000000" w14:paraId="0000007D">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It Creates Accountability Without Reductionism</w:t>
      </w:r>
      <w:r w:rsidDel="00000000" w:rsidR="00000000" w:rsidRPr="00000000">
        <w:rPr>
          <w:rtl w:val="0"/>
        </w:rPr>
      </w:r>
    </w:p>
    <w:p w:rsidR="00000000" w:rsidDel="00000000" w:rsidP="00000000" w:rsidRDefault="00000000" w:rsidRPr="00000000" w14:paraId="0000007E">
      <w:pPr>
        <w:spacing w:after="120" w:before="80" w:line="320" w:lineRule="auto"/>
        <w:jc w:val="both"/>
        <w:rPr/>
      </w:pPr>
      <w:r w:rsidDel="00000000" w:rsidR="00000000" w:rsidRPr="00000000">
        <w:rPr>
          <w:rFonts w:ascii="Arial" w:cs="Arial" w:eastAsia="Arial" w:hAnsi="Arial"/>
          <w:color w:val="111111"/>
          <w:sz w:val="22"/>
          <w:szCs w:val="22"/>
          <w:rtl w:val="0"/>
        </w:rPr>
        <w:t xml:space="preserve">Because Qulux tracks three non-convertible streams simultaneously, it resists the pathology of all measurement systems: gaming. An organization cannot inflate its Proba count without corresponding Lumina and Tesera records to support it. Automated flagging of anomalous patterns triggers review when activity and transformation diverge. The three-dimensional profile is far harder to manipulate than a single KPI, because any attempt to inflate one dimension creates a visible imbalance across the others.</w:t>
      </w:r>
      <w:r w:rsidDel="00000000" w:rsidR="00000000" w:rsidRPr="00000000">
        <w:rPr>
          <w:rtl w:val="0"/>
        </w:rPr>
      </w:r>
    </w:p>
    <w:p w:rsidR="00000000" w:rsidDel="00000000" w:rsidP="00000000" w:rsidRDefault="00000000" w:rsidRPr="00000000" w14:paraId="0000007F">
      <w:pPr>
        <w:spacing w:after="0" w:before="160" w:lineRule="auto"/>
        <w:rPr/>
      </w:pPr>
      <w:r w:rsidDel="00000000" w:rsidR="00000000" w:rsidRPr="00000000">
        <w:rPr>
          <w:rtl w:val="0"/>
        </w:rPr>
      </w:r>
    </w:p>
    <w:p w:rsidR="00000000" w:rsidDel="00000000" w:rsidP="00000000" w:rsidRDefault="00000000" w:rsidRPr="00000000" w14:paraId="00000080">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It Connects Individual Practice to Organizational Performance</w:t>
      </w:r>
      <w:r w:rsidDel="00000000" w:rsidR="00000000" w:rsidRPr="00000000">
        <w:rPr>
          <w:rtl w:val="0"/>
        </w:rPr>
      </w:r>
    </w:p>
    <w:p w:rsidR="00000000" w:rsidDel="00000000" w:rsidP="00000000" w:rsidRDefault="00000000" w:rsidRPr="00000000" w14:paraId="00000081">
      <w:pPr>
        <w:spacing w:after="120" w:before="80" w:line="320" w:lineRule="auto"/>
        <w:jc w:val="both"/>
        <w:rPr/>
      </w:pPr>
      <w:r w:rsidDel="00000000" w:rsidR="00000000" w:rsidRPr="00000000">
        <w:rPr>
          <w:rFonts w:ascii="Arial" w:cs="Arial" w:eastAsia="Arial" w:hAnsi="Arial"/>
          <w:color w:val="111111"/>
          <w:sz w:val="22"/>
          <w:szCs w:val="22"/>
          <w:rtl w:val="0"/>
        </w:rPr>
        <w:t xml:space="preserve">Qulux operates at three levels simultaneously: the individual practitioner, the team or division, and the organization as a whole. This means that an individual’s Tesera record becomes a portable professional credential — a demonstration of futures literacy that can follow them across employers. A division’s Lumina history tells a story of cultural maturation. The organization’s Proba record is a board-level account of strategic value created.</w:t>
      </w:r>
      <w:r w:rsidDel="00000000" w:rsidR="00000000" w:rsidRPr="00000000">
        <w:rPr>
          <w:rtl w:val="0"/>
        </w:rPr>
      </w:r>
    </w:p>
    <w:p w:rsidR="00000000" w:rsidDel="00000000" w:rsidP="00000000" w:rsidRDefault="00000000" w:rsidRPr="00000000" w14:paraId="00000082">
      <w:pPr>
        <w:spacing w:after="0" w:before="160" w:lineRule="auto"/>
        <w:rPr/>
      </w:pPr>
      <w:r w:rsidDel="00000000" w:rsidR="00000000" w:rsidRPr="00000000">
        <w:rPr>
          <w:rtl w:val="0"/>
        </w:rPr>
      </w:r>
    </w:p>
    <w:p w:rsidR="00000000" w:rsidDel="00000000" w:rsidP="00000000" w:rsidRDefault="00000000" w:rsidRPr="00000000" w14:paraId="00000083">
      <w:pPr>
        <w:spacing w:after="120" w:before="80" w:line="320" w:lineRule="auto"/>
        <w:jc w:val="both"/>
        <w:rPr/>
      </w:pPr>
      <w:r w:rsidDel="00000000" w:rsidR="00000000" w:rsidRPr="00000000">
        <w:rPr>
          <w:rFonts w:ascii="Arial" w:cs="Arial" w:eastAsia="Arial" w:hAnsi="Arial"/>
          <w:color w:val="111111"/>
          <w:sz w:val="22"/>
          <w:szCs w:val="22"/>
          <w:rtl w:val="0"/>
        </w:rPr>
        <w:t xml:space="preserve">This vertical coherence — individual to team to organization — means that foresight is no longer siloed in a specialist function. It becomes legible, and therefore defensible, at every level where resource decisions are made.</w:t>
      </w:r>
      <w:r w:rsidDel="00000000" w:rsidR="00000000" w:rsidRPr="00000000">
        <w:rPr>
          <w:rtl w:val="0"/>
        </w:rPr>
      </w:r>
    </w:p>
    <w:p w:rsidR="00000000" w:rsidDel="00000000" w:rsidP="00000000" w:rsidRDefault="00000000" w:rsidRPr="00000000" w14:paraId="00000084">
      <w:pPr>
        <w:spacing w:after="0" w:before="160" w:lineRule="auto"/>
        <w:rPr/>
      </w:pPr>
      <w:r w:rsidDel="00000000" w:rsidR="00000000" w:rsidRPr="00000000">
        <w:rPr>
          <w:rtl w:val="0"/>
        </w:rPr>
      </w:r>
    </w:p>
    <w:p w:rsidR="00000000" w:rsidDel="00000000" w:rsidP="00000000" w:rsidRDefault="00000000" w:rsidRPr="00000000" w14:paraId="00000085">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It Enables Cross-Organizational Benchmarking</w:t>
      </w:r>
      <w:r w:rsidDel="00000000" w:rsidR="00000000" w:rsidRPr="00000000">
        <w:rPr>
          <w:rtl w:val="0"/>
        </w:rPr>
      </w:r>
    </w:p>
    <w:p w:rsidR="00000000" w:rsidDel="00000000" w:rsidP="00000000" w:rsidRDefault="00000000" w:rsidRPr="00000000" w14:paraId="00000086">
      <w:pPr>
        <w:spacing w:after="120" w:before="80" w:line="320" w:lineRule="auto"/>
        <w:jc w:val="both"/>
        <w:rPr/>
      </w:pPr>
      <w:r w:rsidDel="00000000" w:rsidR="00000000" w:rsidRPr="00000000">
        <w:rPr>
          <w:rFonts w:ascii="Arial" w:cs="Arial" w:eastAsia="Arial" w:hAnsi="Arial"/>
          <w:color w:val="111111"/>
          <w:sz w:val="22"/>
          <w:szCs w:val="22"/>
          <w:rtl w:val="0"/>
        </w:rPr>
        <w:t xml:space="preserve">As Qulux adoption grows, the system creates a common language across organizations, industries, and sectors. A futures practitioner moving from a tech company to a healthcare organization can point to their Tesera record and communicate their depth of experience in terms that require no translation. Organizations can benchmark their Qulux profiles against industry peers, identifying where they are strong, where they lag, and where investment will produce the greatest leverage.</w:t>
      </w:r>
      <w:r w:rsidDel="00000000" w:rsidR="00000000" w:rsidRPr="00000000">
        <w:rPr>
          <w:rtl w:val="0"/>
        </w:rPr>
      </w:r>
    </w:p>
    <w:p w:rsidR="00000000" w:rsidDel="00000000" w:rsidP="00000000" w:rsidRDefault="00000000" w:rsidRPr="00000000" w14:paraId="00000087">
      <w:pPr>
        <w:spacing w:after="0" w:before="160" w:lineRule="auto"/>
        <w:rPr/>
      </w:pPr>
      <w:r w:rsidDel="00000000" w:rsidR="00000000" w:rsidRPr="00000000">
        <w:rPr>
          <w:rtl w:val="0"/>
        </w:rPr>
      </w:r>
    </w:p>
    <w:p w:rsidR="00000000" w:rsidDel="00000000" w:rsidP="00000000" w:rsidRDefault="00000000" w:rsidRPr="00000000" w14:paraId="00000088">
      <w:pPr>
        <w:spacing w:after="120" w:before="80" w:line="320" w:lineRule="auto"/>
        <w:jc w:val="both"/>
        <w:rPr/>
      </w:pPr>
      <w:r w:rsidDel="00000000" w:rsidR="00000000" w:rsidRPr="00000000">
        <w:rPr>
          <w:rFonts w:ascii="Arial" w:cs="Arial" w:eastAsia="Arial" w:hAnsi="Arial"/>
          <w:color w:val="111111"/>
          <w:sz w:val="22"/>
          <w:szCs w:val="22"/>
          <w:rtl w:val="0"/>
        </w:rPr>
        <w:t xml:space="preserve">This is the long-term vision: a Futures Quotient that functions like a credit score for foresight capacity — a standardized, portable, trusted signal of how futures-ready any individual or organization truly is.</w:t>
      </w:r>
      <w:r w:rsidDel="00000000" w:rsidR="00000000" w:rsidRPr="00000000">
        <w:rPr>
          <w:rtl w:val="0"/>
        </w:rPr>
      </w:r>
    </w:p>
    <w:p w:rsidR="00000000" w:rsidDel="00000000" w:rsidP="00000000" w:rsidRDefault="00000000" w:rsidRPr="00000000" w14:paraId="00000089">
      <w:pPr>
        <w:spacing w:after="0" w:before="160" w:lineRule="auto"/>
        <w:rPr/>
      </w:pPr>
      <w:r w:rsidDel="00000000" w:rsidR="00000000" w:rsidRPr="00000000">
        <w:rPr>
          <w:rtl w:val="0"/>
        </w:rPr>
      </w:r>
    </w:p>
    <w:p w:rsidR="00000000" w:rsidDel="00000000" w:rsidP="00000000" w:rsidRDefault="00000000" w:rsidRPr="00000000" w14:paraId="0000008A">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It Honors the Full Lifecycle of Impact</w:t>
      </w:r>
      <w:r w:rsidDel="00000000" w:rsidR="00000000" w:rsidRPr="00000000">
        <w:rPr>
          <w:rtl w:val="0"/>
        </w:rPr>
      </w:r>
    </w:p>
    <w:p w:rsidR="00000000" w:rsidDel="00000000" w:rsidP="00000000" w:rsidRDefault="00000000" w:rsidRPr="00000000" w14:paraId="0000008B">
      <w:pPr>
        <w:spacing w:after="120" w:before="80" w:line="320" w:lineRule="auto"/>
        <w:jc w:val="both"/>
        <w:rPr/>
      </w:pPr>
      <w:r w:rsidDel="00000000" w:rsidR="00000000" w:rsidRPr="00000000">
        <w:rPr>
          <w:rFonts w:ascii="Arial" w:cs="Arial" w:eastAsia="Arial" w:hAnsi="Arial"/>
          <w:color w:val="111111"/>
          <w:sz w:val="22"/>
          <w:szCs w:val="22"/>
          <w:rtl w:val="0"/>
        </w:rPr>
        <w:t xml:space="preserve">Perhaps most importantly, Qulux is the only framework that measures foresight across its full causal chain: from the work done, to the organization changed, to the outcomes produced. Most measurement attempts stop at the first stage — counting workshops and scenario documents. Qulux insists on following the chain all the way through, because the only honest case for foresight investment is one that can point to real-world results, however hard-won they are to document.</w:t>
      </w:r>
      <w:r w:rsidDel="00000000" w:rsidR="00000000" w:rsidRPr="00000000">
        <w:rPr>
          <w:rtl w:val="0"/>
        </w:rPr>
      </w:r>
    </w:p>
    <w:p w:rsidR="00000000" w:rsidDel="00000000" w:rsidP="00000000" w:rsidRDefault="00000000" w:rsidRPr="00000000" w14:paraId="0000008C">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8D">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8E">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8F">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90">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91">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6. The Verification Architecture</w:t>
      </w:r>
      <w:r w:rsidDel="00000000" w:rsidR="00000000" w:rsidRPr="00000000">
        <w:rPr>
          <w:rtl w:val="0"/>
        </w:rPr>
      </w:r>
    </w:p>
    <w:p w:rsidR="00000000" w:rsidDel="00000000" w:rsidP="00000000" w:rsidRDefault="00000000" w:rsidRPr="00000000" w14:paraId="00000092">
      <w:pPr>
        <w:spacing w:after="120" w:before="80" w:line="320" w:lineRule="auto"/>
        <w:jc w:val="both"/>
        <w:rPr/>
      </w:pPr>
      <w:r w:rsidDel="00000000" w:rsidR="00000000" w:rsidRPr="00000000">
        <w:rPr>
          <w:rFonts w:ascii="Arial" w:cs="Arial" w:eastAsia="Arial" w:hAnsi="Arial"/>
          <w:color w:val="111111"/>
          <w:sz w:val="22"/>
          <w:szCs w:val="22"/>
          <w:rtl w:val="0"/>
        </w:rPr>
        <w:t xml:space="preserve">The credibility of Qulux depends entirely on the integrity of how tokens are awarded. A system that can be gamed will be gamed. The architecture therefore uses tiered verification, with the evidentiary standard rising in proportion to the value and significance of the token.</w:t>
      </w:r>
      <w:r w:rsidDel="00000000" w:rsidR="00000000" w:rsidRPr="00000000">
        <w:rPr>
          <w:rtl w:val="0"/>
        </w:rPr>
      </w:r>
    </w:p>
    <w:p w:rsidR="00000000" w:rsidDel="00000000" w:rsidP="00000000" w:rsidRDefault="00000000" w:rsidRPr="00000000" w14:paraId="00000093">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Tier 1: Automated Verification (Tesera)</w:t>
      </w:r>
      <w:r w:rsidDel="00000000" w:rsidR="00000000" w:rsidRPr="00000000">
        <w:rPr>
          <w:rtl w:val="0"/>
        </w:rPr>
      </w:r>
    </w:p>
    <w:p w:rsidR="00000000" w:rsidDel="00000000" w:rsidP="00000000" w:rsidRDefault="00000000" w:rsidRPr="00000000" w14:paraId="00000094">
      <w:pPr>
        <w:spacing w:after="120" w:before="80" w:line="320" w:lineRule="auto"/>
        <w:jc w:val="both"/>
        <w:rPr/>
      </w:pPr>
      <w:r w:rsidDel="00000000" w:rsidR="00000000" w:rsidRPr="00000000">
        <w:rPr>
          <w:rFonts w:ascii="Arial" w:cs="Arial" w:eastAsia="Arial" w:hAnsi="Arial"/>
          <w:color w:val="111111"/>
          <w:sz w:val="22"/>
          <w:szCs w:val="22"/>
          <w:rtl w:val="0"/>
        </w:rPr>
        <w:t xml:space="preserve">Input tokens are verified through digital systems: attendance tracking, database contribution logs, completion records for structured exercises. These systems function like GitHub contribution histories or university enrollment records — they are objective, auditable, and difficult to fabricate at scale. Tier 1 verification is the most scalable part of the system and the most resistant to casual gaming.</w:t>
      </w:r>
      <w:r w:rsidDel="00000000" w:rsidR="00000000" w:rsidRPr="00000000">
        <w:rPr>
          <w:rtl w:val="0"/>
        </w:rPr>
      </w:r>
    </w:p>
    <w:p w:rsidR="00000000" w:rsidDel="00000000" w:rsidP="00000000" w:rsidRDefault="00000000" w:rsidRPr="00000000" w14:paraId="00000095">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Tier 2: Peer Review Verification (Lumina)</w:t>
      </w:r>
      <w:r w:rsidDel="00000000" w:rsidR="00000000" w:rsidRPr="00000000">
        <w:rPr>
          <w:rtl w:val="0"/>
        </w:rPr>
      </w:r>
    </w:p>
    <w:p w:rsidR="00000000" w:rsidDel="00000000" w:rsidP="00000000" w:rsidRDefault="00000000" w:rsidRPr="00000000" w14:paraId="00000096">
      <w:pPr>
        <w:spacing w:after="120" w:before="80" w:line="320" w:lineRule="auto"/>
        <w:jc w:val="both"/>
        <w:rPr/>
      </w:pPr>
      <w:r w:rsidDel="00000000" w:rsidR="00000000" w:rsidRPr="00000000">
        <w:rPr>
          <w:rFonts w:ascii="Arial" w:cs="Arial" w:eastAsia="Arial" w:hAnsi="Arial"/>
          <w:color w:val="111111"/>
          <w:sz w:val="22"/>
          <w:szCs w:val="22"/>
          <w:rtl w:val="0"/>
        </w:rPr>
        <w:t xml:space="preserve">Transformation tokens require a more subjective but still structured process: multi-source feedback, internal review boards, and for significant transformation claims, external consultant assessment. The 360-degree model ensures that no single actor can self-certify cultural or cognitive change. The governance structure for Tier 2 is the organization’s responsibility to establish, with guidance from Futures Quotient on best practices.</w:t>
      </w:r>
      <w:r w:rsidDel="00000000" w:rsidR="00000000" w:rsidRPr="00000000">
        <w:rPr>
          <w:rtl w:val="0"/>
        </w:rPr>
      </w:r>
    </w:p>
    <w:p w:rsidR="00000000" w:rsidDel="00000000" w:rsidP="00000000" w:rsidRDefault="00000000" w:rsidRPr="00000000" w14:paraId="00000097">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Tier 3: Third-Party Verification (Proba)</w:t>
      </w:r>
      <w:r w:rsidDel="00000000" w:rsidR="00000000" w:rsidRPr="00000000">
        <w:rPr>
          <w:rtl w:val="0"/>
        </w:rPr>
      </w:r>
    </w:p>
    <w:p w:rsidR="00000000" w:rsidDel="00000000" w:rsidP="00000000" w:rsidRDefault="00000000" w:rsidRPr="00000000" w14:paraId="00000098">
      <w:pPr>
        <w:spacing w:after="120" w:before="80" w:line="320" w:lineRule="auto"/>
        <w:jc w:val="both"/>
        <w:rPr/>
      </w:pPr>
      <w:r w:rsidDel="00000000" w:rsidR="00000000" w:rsidRPr="00000000">
        <w:rPr>
          <w:rFonts w:ascii="Arial" w:cs="Arial" w:eastAsia="Arial" w:hAnsi="Arial"/>
          <w:color w:val="111111"/>
          <w:sz w:val="22"/>
          <w:szCs w:val="22"/>
          <w:rtl w:val="0"/>
        </w:rPr>
        <w:t xml:space="preserve">Outcome tokens require independent audit. Third-party verifiers review the documented evidence chain — foresight work, organizational action, and outcome — against industry benchmarks and peer performance data. This is the highest evidentiary standard, analogous to financial auditing, and the most expensive to execute. It is also the most valuable: a third-party-verified Proba is as close to objective proof of foresight’s impact as the field has ever produced.</w:t>
      </w:r>
      <w:r w:rsidDel="00000000" w:rsidR="00000000" w:rsidRPr="00000000">
        <w:rPr>
          <w:rtl w:val="0"/>
        </w:rPr>
      </w:r>
    </w:p>
    <w:p w:rsidR="00000000" w:rsidDel="00000000" w:rsidP="00000000" w:rsidRDefault="00000000" w:rsidRPr="00000000" w14:paraId="00000099">
      <w:pPr>
        <w:spacing w:after="0" w:before="160" w:lineRule="auto"/>
        <w:rPr/>
      </w:pPr>
      <w:r w:rsidDel="00000000" w:rsidR="00000000" w:rsidRPr="00000000">
        <w:rPr>
          <w:rtl w:val="0"/>
        </w:rPr>
      </w:r>
    </w:p>
    <w:p w:rsidR="00000000" w:rsidDel="00000000" w:rsidP="00000000" w:rsidRDefault="00000000" w:rsidRPr="00000000" w14:paraId="0000009A">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Token Decay and Renewal</w:t>
      </w:r>
      <w:r w:rsidDel="00000000" w:rsidR="00000000" w:rsidRPr="00000000">
        <w:rPr>
          <w:rtl w:val="0"/>
        </w:rPr>
      </w:r>
    </w:p>
    <w:p w:rsidR="00000000" w:rsidDel="00000000" w:rsidP="00000000" w:rsidRDefault="00000000" w:rsidRPr="00000000" w14:paraId="0000009B">
      <w:pPr>
        <w:spacing w:after="120" w:before="80" w:line="320" w:lineRule="auto"/>
        <w:jc w:val="both"/>
        <w:rPr/>
      </w:pPr>
      <w:r w:rsidDel="00000000" w:rsidR="00000000" w:rsidRPr="00000000">
        <w:rPr>
          <w:rFonts w:ascii="Arial" w:cs="Arial" w:eastAsia="Arial" w:hAnsi="Arial"/>
          <w:color w:val="111111"/>
          <w:sz w:val="22"/>
          <w:szCs w:val="22"/>
          <w:rtl w:val="0"/>
        </w:rPr>
        <w:t xml:space="preserve">To prevent organizations from coasting on past investment, Tesera tokens carry a 3-year half-life and Lumina tokens a 5-year half-life. Foresight skills need refreshing; organizational cultures can regress. Only Proba tokens are permanent, because demonstrated results are historical facts. The decay mechanism creates continuous demand for active foresight practice — not as a penalty, but as a reflection of how organizational capacity actually works.</w:t>
      </w:r>
      <w:r w:rsidDel="00000000" w:rsidR="00000000" w:rsidRPr="00000000">
        <w:rPr>
          <w:rtl w:val="0"/>
        </w:rPr>
      </w:r>
    </w:p>
    <w:p w:rsidR="00000000" w:rsidDel="00000000" w:rsidP="00000000" w:rsidRDefault="00000000" w:rsidRPr="00000000" w14:paraId="0000009C">
      <w:pPr>
        <w:pStyle w:val="Heading1"/>
        <w:pBdr>
          <w:bottom w:color="c8962e" w:space="6" w:sz="4" w:val="single"/>
        </w:pBdr>
        <w:spacing w:after="160" w:before="360" w:lineRule="auto"/>
        <w:rPr/>
      </w:pPr>
      <w:r w:rsidDel="00000000" w:rsidR="00000000" w:rsidRPr="00000000">
        <w:rPr>
          <w:rtl w:val="0"/>
        </w:rPr>
      </w:r>
    </w:p>
    <w:p w:rsidR="00000000" w:rsidDel="00000000" w:rsidP="00000000" w:rsidRDefault="00000000" w:rsidRPr="00000000" w14:paraId="0000009D">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7. A Practical Journey: What Qulux Looks Like Over Time</w:t>
      </w:r>
      <w:r w:rsidDel="00000000" w:rsidR="00000000" w:rsidRPr="00000000">
        <w:rPr>
          <w:rtl w:val="0"/>
        </w:rPr>
      </w:r>
    </w:p>
    <w:p w:rsidR="00000000" w:rsidDel="00000000" w:rsidP="00000000" w:rsidRDefault="00000000" w:rsidRPr="00000000" w14:paraId="0000009E">
      <w:pPr>
        <w:spacing w:after="120" w:before="80" w:line="320" w:lineRule="auto"/>
        <w:jc w:val="both"/>
        <w:rPr/>
      </w:pPr>
      <w:r w:rsidDel="00000000" w:rsidR="00000000" w:rsidRPr="00000000">
        <w:rPr>
          <w:rFonts w:ascii="Arial" w:cs="Arial" w:eastAsia="Arial" w:hAnsi="Arial"/>
          <w:color w:val="111111"/>
          <w:sz w:val="22"/>
          <w:szCs w:val="22"/>
          <w:rtl w:val="0"/>
        </w:rPr>
        <w:t xml:space="preserve">The following example illustrates how a Qulux profile develops over eight quarters for an organization launching a new foresight program. The numbers are illustrative but grounded in typical organizational trajectories.</w:t>
      </w:r>
      <w:r w:rsidDel="00000000" w:rsidR="00000000" w:rsidRPr="00000000">
        <w:rPr>
          <w:rtl w:val="0"/>
        </w:rPr>
      </w:r>
    </w:p>
    <w:p w:rsidR="00000000" w:rsidDel="00000000" w:rsidP="00000000" w:rsidRDefault="00000000" w:rsidRPr="00000000" w14:paraId="0000009F">
      <w:pPr>
        <w:pStyle w:val="Heading2"/>
        <w:spacing w:after="120" w:before="280" w:lineRule="auto"/>
        <w:rPr/>
      </w:pPr>
      <w:r w:rsidDel="00000000" w:rsidR="00000000" w:rsidRPr="00000000">
        <w:rPr>
          <w:rtl w:val="0"/>
        </w:rPr>
      </w:r>
    </w:p>
    <w:p w:rsidR="00000000" w:rsidDel="00000000" w:rsidP="00000000" w:rsidRDefault="00000000" w:rsidRPr="00000000" w14:paraId="000000A0">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Quarters 1–2: Foundation</w:t>
      </w:r>
      <w:r w:rsidDel="00000000" w:rsidR="00000000" w:rsidRPr="00000000">
        <w:rPr>
          <w:rtl w:val="0"/>
        </w:rPr>
      </w:r>
    </w:p>
    <w:p w:rsidR="00000000" w:rsidDel="00000000" w:rsidP="00000000" w:rsidRDefault="00000000" w:rsidRPr="00000000" w14:paraId="000000A1">
      <w:pPr>
        <w:spacing w:after="120" w:before="80" w:line="320" w:lineRule="auto"/>
        <w:jc w:val="both"/>
        <w:rPr/>
      </w:pPr>
      <w:r w:rsidDel="00000000" w:rsidR="00000000" w:rsidRPr="00000000">
        <w:rPr>
          <w:rFonts w:ascii="Arial" w:cs="Arial" w:eastAsia="Arial" w:hAnsi="Arial"/>
          <w:color w:val="111111"/>
          <w:sz w:val="22"/>
          <w:szCs w:val="22"/>
          <w:rtl w:val="0"/>
        </w:rPr>
        <w:t xml:space="preserve">The organization runs initial training, conducts its first scenario exercises, and establishes horizon scanning processes. Tesera accumulate quickly; Lumina are minimal because cultural change takes time; Proba are zero because it is far too early for outcome evidence.</w:t>
      </w:r>
      <w:r w:rsidDel="00000000" w:rsidR="00000000" w:rsidRPr="00000000">
        <w:rPr>
          <w:rtl w:val="0"/>
        </w:rPr>
      </w:r>
    </w:p>
    <w:p w:rsidR="00000000" w:rsidDel="00000000" w:rsidP="00000000" w:rsidRDefault="00000000" w:rsidRPr="00000000" w14:paraId="000000A2">
      <w:pPr>
        <w:spacing w:after="0" w:before="160" w:lineRule="auto"/>
        <w:rPr/>
      </w:pPr>
      <w:r w:rsidDel="00000000" w:rsidR="00000000" w:rsidRPr="00000000">
        <w:rPr>
          <w:rtl w:val="0"/>
        </w:rPr>
      </w:r>
    </w:p>
    <w:p w:rsidR="00000000" w:rsidDel="00000000" w:rsidP="00000000" w:rsidRDefault="00000000" w:rsidRPr="00000000" w14:paraId="000000A3">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Quarters 3–4: Momentum</w:t>
      </w:r>
      <w:r w:rsidDel="00000000" w:rsidR="00000000" w:rsidRPr="00000000">
        <w:rPr>
          <w:rtl w:val="0"/>
        </w:rPr>
      </w:r>
    </w:p>
    <w:p w:rsidR="00000000" w:rsidDel="00000000" w:rsidP="00000000" w:rsidRDefault="00000000" w:rsidRPr="00000000" w14:paraId="000000A4">
      <w:pPr>
        <w:spacing w:after="120" w:before="80" w:line="320" w:lineRule="auto"/>
        <w:jc w:val="both"/>
        <w:rPr/>
      </w:pPr>
      <w:r w:rsidDel="00000000" w:rsidR="00000000" w:rsidRPr="00000000">
        <w:rPr>
          <w:rFonts w:ascii="Arial" w:cs="Arial" w:eastAsia="Arial" w:hAnsi="Arial"/>
          <w:color w:val="111111"/>
          <w:sz w:val="22"/>
          <w:szCs w:val="22"/>
          <w:rtl w:val="0"/>
        </w:rPr>
        <w:t xml:space="preserve">Sustained activity builds. Cross-functional collaboration increases the Tesera rate. Language audits begin to show measurable shifts in how leadership discusses uncertainty — the first Lumina are earned. Proba remain at zero; this is expected and not a concern.</w:t>
      </w:r>
      <w:r w:rsidDel="00000000" w:rsidR="00000000" w:rsidRPr="00000000">
        <w:rPr>
          <w:rtl w:val="0"/>
        </w:rPr>
      </w:r>
    </w:p>
    <w:p w:rsidR="00000000" w:rsidDel="00000000" w:rsidP="00000000" w:rsidRDefault="00000000" w:rsidRPr="00000000" w14:paraId="000000A5">
      <w:pPr>
        <w:spacing w:after="0" w:before="160" w:lineRule="auto"/>
        <w:rPr/>
      </w:pPr>
      <w:r w:rsidDel="00000000" w:rsidR="00000000" w:rsidRPr="00000000">
        <w:rPr>
          <w:rtl w:val="0"/>
        </w:rPr>
      </w:r>
    </w:p>
    <w:p w:rsidR="00000000" w:rsidDel="00000000" w:rsidP="00000000" w:rsidRDefault="00000000" w:rsidRPr="00000000" w14:paraId="000000A6">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Quarters 5–6: Early Results</w:t>
      </w:r>
      <w:r w:rsidDel="00000000" w:rsidR="00000000" w:rsidRPr="00000000">
        <w:rPr>
          <w:rtl w:val="0"/>
        </w:rPr>
      </w:r>
    </w:p>
    <w:p w:rsidR="00000000" w:rsidDel="00000000" w:rsidP="00000000" w:rsidRDefault="00000000" w:rsidRPr="00000000" w14:paraId="000000A7">
      <w:pPr>
        <w:spacing w:after="120" w:before="80" w:line="320" w:lineRule="auto"/>
        <w:jc w:val="both"/>
        <w:rPr/>
      </w:pPr>
      <w:r w:rsidDel="00000000" w:rsidR="00000000" w:rsidRPr="00000000">
        <w:rPr>
          <w:rFonts w:ascii="Arial" w:cs="Arial" w:eastAsia="Arial" w:hAnsi="Arial"/>
          <w:color w:val="111111"/>
          <w:sz w:val="22"/>
          <w:szCs w:val="22"/>
          <w:rtl w:val="0"/>
        </w:rPr>
        <w:t xml:space="preserve">The foresight program has matured. Cultural adaptation is measurable across multiple departments. The organization documents its first Proba event: a risk identified through horizon scanning that materialized for three industry peers but was successfully mitigated internally.</w:t>
      </w:r>
      <w:r w:rsidDel="00000000" w:rsidR="00000000" w:rsidRPr="00000000">
        <w:rPr>
          <w:rtl w:val="0"/>
        </w:rPr>
      </w:r>
    </w:p>
    <w:p w:rsidR="00000000" w:rsidDel="00000000" w:rsidP="00000000" w:rsidRDefault="00000000" w:rsidRPr="00000000" w14:paraId="000000A8">
      <w:pPr>
        <w:spacing w:after="0" w:before="160" w:lineRule="auto"/>
        <w:rPr/>
      </w:pPr>
      <w:r w:rsidDel="00000000" w:rsidR="00000000" w:rsidRPr="00000000">
        <w:rPr>
          <w:rtl w:val="0"/>
        </w:rPr>
      </w:r>
    </w:p>
    <w:p w:rsidR="00000000" w:rsidDel="00000000" w:rsidP="00000000" w:rsidRDefault="00000000" w:rsidRPr="00000000" w14:paraId="000000A9">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Quarters 7–8: Compounding Value</w:t>
      </w:r>
      <w:r w:rsidDel="00000000" w:rsidR="00000000" w:rsidRPr="00000000">
        <w:rPr>
          <w:rtl w:val="0"/>
        </w:rPr>
      </w:r>
    </w:p>
    <w:p w:rsidR="00000000" w:rsidDel="00000000" w:rsidP="00000000" w:rsidRDefault="00000000" w:rsidRPr="00000000" w14:paraId="000000AA">
      <w:pPr>
        <w:spacing w:after="120" w:before="80" w:line="320" w:lineRule="auto"/>
        <w:jc w:val="both"/>
        <w:rPr/>
      </w:pPr>
      <w:r w:rsidDel="00000000" w:rsidR="00000000" w:rsidRPr="00000000">
        <w:rPr>
          <w:rFonts w:ascii="Arial" w:cs="Arial" w:eastAsia="Arial" w:hAnsi="Arial"/>
          <w:color w:val="111111"/>
          <w:sz w:val="22"/>
          <w:szCs w:val="22"/>
          <w:rtl w:val="0"/>
        </w:rPr>
        <w:t xml:space="preserve">The foresight capability is now deeply embedded. Multiple strategic wins and resilience advantages can be documented. The organization’s Qulux profile tells a compelling, evidence-based story of ROI that no single KPI could capture.</w:t>
      </w:r>
      <w:r w:rsidDel="00000000" w:rsidR="00000000" w:rsidRPr="00000000">
        <w:rPr>
          <w:rtl w:val="0"/>
        </w:rPr>
      </w:r>
    </w:p>
    <w:p w:rsidR="00000000" w:rsidDel="00000000" w:rsidP="00000000" w:rsidRDefault="00000000" w:rsidRPr="00000000" w14:paraId="000000AB">
      <w:pPr>
        <w:spacing w:after="0" w:before="160" w:lineRule="auto"/>
        <w:rPr/>
      </w:pPr>
      <w:r w:rsidDel="00000000" w:rsidR="00000000" w:rsidRPr="00000000">
        <w:rPr>
          <w:rtl w:val="0"/>
        </w:rPr>
      </w:r>
    </w:p>
    <w:p w:rsidR="00000000" w:rsidDel="00000000" w:rsidP="00000000" w:rsidRDefault="00000000" w:rsidRPr="00000000" w14:paraId="000000AC">
      <w:pPr>
        <w:spacing w:after="0" w:before="160" w:lineRule="auto"/>
        <w:rPr/>
      </w:pPr>
      <w:r w:rsidDel="00000000" w:rsidR="00000000" w:rsidRPr="00000000">
        <w:rPr>
          <w:rtl w:val="0"/>
        </w:rPr>
      </w:r>
    </w:p>
    <w:p w:rsidR="00000000" w:rsidDel="00000000" w:rsidP="00000000" w:rsidRDefault="00000000" w:rsidRPr="00000000" w14:paraId="000000AD">
      <w:pPr>
        <w:spacing w:after="120" w:before="80" w:line="320" w:lineRule="auto"/>
        <w:jc w:val="both"/>
        <w:rPr/>
      </w:pPr>
      <w:r w:rsidDel="00000000" w:rsidR="00000000" w:rsidRPr="00000000">
        <w:rPr>
          <w:rFonts w:ascii="Arial" w:cs="Arial" w:eastAsia="Arial" w:hAnsi="Arial"/>
          <w:color w:val="111111"/>
          <w:sz w:val="22"/>
          <w:szCs w:val="22"/>
          <w:rtl w:val="0"/>
        </w:rPr>
        <w:t xml:space="preserve">This trajectory is the story Qulux is designed to tell: investment in activity producing organizational change, producing strategic results, with the expected and natural lag between each stage. A manager who sees this progression does not need to be convinced that foresight works. The evidence is structured, audited, and self-evident.</w:t>
      </w:r>
      <w:r w:rsidDel="00000000" w:rsidR="00000000" w:rsidRPr="00000000">
        <w:rPr>
          <w:rtl w:val="0"/>
        </w:rPr>
      </w:r>
    </w:p>
    <w:p w:rsidR="00000000" w:rsidDel="00000000" w:rsidP="00000000" w:rsidRDefault="00000000" w:rsidRPr="00000000" w14:paraId="000000AE">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8. Conclusion: Foresight </w:t>
      </w:r>
      <w:r w:rsidDel="00000000" w:rsidR="00000000" w:rsidRPr="00000000">
        <w:rPr>
          <w:rtl w:val="0"/>
        </w:rPr>
        <w:t xml:space="preserve">Works Better When Counted</w:t>
      </w:r>
    </w:p>
    <w:p w:rsidR="00000000" w:rsidDel="00000000" w:rsidP="00000000" w:rsidRDefault="00000000" w:rsidRPr="00000000" w14:paraId="000000AF">
      <w:pPr>
        <w:spacing w:after="120" w:before="80" w:line="320" w:lineRule="auto"/>
        <w:jc w:val="both"/>
        <w:rPr/>
      </w:pPr>
      <w:r w:rsidDel="00000000" w:rsidR="00000000" w:rsidRPr="00000000">
        <w:rPr>
          <w:rFonts w:ascii="Arial" w:cs="Arial" w:eastAsia="Arial" w:hAnsi="Arial"/>
          <w:color w:val="111111"/>
          <w:sz w:val="22"/>
          <w:szCs w:val="22"/>
          <w:rtl w:val="0"/>
        </w:rPr>
        <w:t xml:space="preserve">The history of every discipline that successfully claimed organizational resources is a history of measurement. Medicine gained authority when it developed controlled trials and outcome statistics. Finance became indispensable when it developed standardized accounting. Engineering earned its seat at the leadership table when it developed stress tests and safety margins.</w:t>
      </w:r>
      <w:r w:rsidDel="00000000" w:rsidR="00000000" w:rsidRPr="00000000">
        <w:rPr>
          <w:rtl w:val="0"/>
        </w:rPr>
      </w:r>
    </w:p>
    <w:p w:rsidR="00000000" w:rsidDel="00000000" w:rsidP="00000000" w:rsidRDefault="00000000" w:rsidRPr="00000000" w14:paraId="000000B0">
      <w:pPr>
        <w:spacing w:after="0" w:before="160" w:lineRule="auto"/>
        <w:rPr/>
      </w:pPr>
      <w:r w:rsidDel="00000000" w:rsidR="00000000" w:rsidRPr="00000000">
        <w:rPr>
          <w:rtl w:val="0"/>
        </w:rPr>
      </w:r>
    </w:p>
    <w:p w:rsidR="00000000" w:rsidDel="00000000" w:rsidP="00000000" w:rsidRDefault="00000000" w:rsidRPr="00000000" w14:paraId="000000B1">
      <w:pPr>
        <w:spacing w:after="120" w:before="80" w:line="320" w:lineRule="auto"/>
        <w:jc w:val="both"/>
        <w:rPr/>
      </w:pPr>
      <w:r w:rsidDel="00000000" w:rsidR="00000000" w:rsidRPr="00000000">
        <w:rPr>
          <w:rFonts w:ascii="Arial" w:cs="Arial" w:eastAsia="Arial" w:hAnsi="Arial"/>
          <w:color w:val="111111"/>
          <w:sz w:val="22"/>
          <w:szCs w:val="22"/>
          <w:rtl w:val="0"/>
        </w:rPr>
        <w:t xml:space="preserve">Foresight is at that inflection point. The methods are mature. The value is real. What has been missing is the measurement standard — the Qulux — that allows the value to be seen, tracked, compared, and defended.</w:t>
      </w:r>
      <w:r w:rsidDel="00000000" w:rsidR="00000000" w:rsidRPr="00000000">
        <w:rPr>
          <w:rtl w:val="0"/>
        </w:rPr>
      </w:r>
    </w:p>
    <w:p w:rsidR="00000000" w:rsidDel="00000000" w:rsidP="00000000" w:rsidRDefault="00000000" w:rsidRPr="00000000" w14:paraId="000000B2">
      <w:pPr>
        <w:spacing w:after="0" w:before="160" w:lineRule="auto"/>
        <w:rPr/>
      </w:pPr>
      <w:r w:rsidDel="00000000" w:rsidR="00000000" w:rsidRPr="00000000">
        <w:rPr>
          <w:rtl w:val="0"/>
        </w:rPr>
      </w:r>
    </w:p>
    <w:p w:rsidR="00000000" w:rsidDel="00000000" w:rsidP="00000000" w:rsidRDefault="00000000" w:rsidRPr="00000000" w14:paraId="000000B3">
      <w:pPr>
        <w:spacing w:after="120" w:before="80" w:line="320" w:lineRule="auto"/>
        <w:jc w:val="both"/>
        <w:rPr/>
      </w:pPr>
      <w:r w:rsidDel="00000000" w:rsidR="00000000" w:rsidRPr="00000000">
        <w:rPr>
          <w:rFonts w:ascii="Arial" w:cs="Arial" w:eastAsia="Arial" w:hAnsi="Arial"/>
          <w:color w:val="111111"/>
          <w:sz w:val="22"/>
          <w:szCs w:val="22"/>
          <w:rtl w:val="0"/>
        </w:rPr>
        <w:t xml:space="preserve">Tesera, Lumina, and Proba are not bureaucratic additions to foresight practice. They are its ledger — the record that transforms light cast forward in time into evidence that can withstand scrutiny, justify investment, and compound in value over years and decades of disciplined organizational futures work.</w:t>
      </w:r>
      <w:r w:rsidDel="00000000" w:rsidR="00000000" w:rsidRPr="00000000">
        <w:rPr>
          <w:rtl w:val="0"/>
        </w:rPr>
      </w:r>
    </w:p>
    <w:p w:rsidR="00000000" w:rsidDel="00000000" w:rsidP="00000000" w:rsidRDefault="00000000" w:rsidRPr="00000000" w14:paraId="000000B4">
      <w:pPr>
        <w:spacing w:after="0" w:before="160" w:lineRule="auto"/>
        <w:rPr/>
      </w:pPr>
      <w:r w:rsidDel="00000000" w:rsidR="00000000" w:rsidRPr="00000000">
        <w:rPr>
          <w:rtl w:val="0"/>
        </w:rPr>
      </w:r>
    </w:p>
    <w:p w:rsidR="00000000" w:rsidDel="00000000" w:rsidP="00000000" w:rsidRDefault="00000000" w:rsidRPr="00000000" w14:paraId="000000B5">
      <w:pPr>
        <w:spacing w:after="120" w:before="80" w:line="320" w:lineRule="auto"/>
        <w:jc w:val="both"/>
        <w:rPr/>
      </w:pPr>
      <w:r w:rsidDel="00000000" w:rsidR="00000000" w:rsidRPr="00000000">
        <w:rPr>
          <w:rFonts w:ascii="Arial" w:cs="Arial" w:eastAsia="Arial" w:hAnsi="Arial"/>
          <w:color w:val="111111"/>
          <w:sz w:val="22"/>
          <w:szCs w:val="22"/>
          <w:rtl w:val="0"/>
        </w:rPr>
        <w:t xml:space="preserve">The future belongs to organizations that can see it coming. The Futures Quotient is how they prove they can.</w:t>
      </w:r>
      <w:r w:rsidDel="00000000" w:rsidR="00000000" w:rsidRPr="00000000">
        <w:rPr>
          <w:rtl w:val="0"/>
        </w:rPr>
      </w:r>
    </w:p>
    <w:p w:rsidR="00000000" w:rsidDel="00000000" w:rsidP="00000000" w:rsidRDefault="00000000" w:rsidRPr="00000000" w14:paraId="000000B6">
      <w:pPr>
        <w:spacing w:after="0" w:before="240" w:lineRule="auto"/>
        <w:rPr/>
      </w:pPr>
      <w:r w:rsidDel="00000000" w:rsidR="00000000" w:rsidRPr="00000000">
        <w:rPr>
          <w:rtl w:val="0"/>
        </w:rPr>
      </w:r>
    </w:p>
    <w:p w:rsidR="00000000" w:rsidDel="00000000" w:rsidP="00000000" w:rsidRDefault="00000000" w:rsidRPr="00000000" w14:paraId="000000B7">
      <w:pPr>
        <w:pBdr>
          <w:left w:color="c8962e" w:space="12" w:sz="12" w:val="single"/>
        </w:pBdr>
        <w:shd w:fill="fdf8ee" w:val="clear"/>
        <w:spacing w:after="200" w:before="200" w:lineRule="auto"/>
        <w:ind w:left="720" w:right="720" w:firstLine="0"/>
        <w:rPr/>
      </w:pPr>
      <w:r w:rsidDel="00000000" w:rsidR="00000000" w:rsidRPr="00000000">
        <w:rPr>
          <w:rFonts w:ascii="Arial" w:cs="Arial" w:eastAsia="Arial" w:hAnsi="Arial"/>
          <w:b w:val="1"/>
          <w:bCs w:val="1"/>
          <w:color w:val="c8962e"/>
          <w:sz w:val="22"/>
          <w:szCs w:val="22"/>
          <w:rtl w:val="0"/>
        </w:rPr>
        <w:t xml:space="preserve">For practitioners: </w:t>
      </w:r>
      <w:r w:rsidDel="00000000" w:rsidR="00000000" w:rsidRPr="00000000">
        <w:rPr>
          <w:rFonts w:ascii="Arial" w:cs="Arial" w:eastAsia="Arial" w:hAnsi="Arial"/>
          <w:color w:val="555555"/>
          <w:sz w:val="22"/>
          <w:szCs w:val="22"/>
          <w:rtl w:val="0"/>
        </w:rPr>
        <w:t xml:space="preserve">Whether you call them Qulux, Future Quotient Tokens, FQs, or simply the proof that your work matters — the system is designed to meet you where you are and carry the case for foresight as far as it needs to go.</w:t>
      </w:r>
      <w:r w:rsidDel="00000000" w:rsidR="00000000" w:rsidRPr="00000000">
        <w:rPr>
          <w:rtl w:val="0"/>
        </w:rPr>
      </w:r>
    </w:p>
    <w:p w:rsidR="00000000" w:rsidDel="00000000" w:rsidP="00000000" w:rsidRDefault="00000000" w:rsidRPr="00000000" w14:paraId="000000B8">
      <w:pPr>
        <w:pageBreakBefore w:val="1"/>
        <w:rPr/>
      </w:pPr>
      <w:r w:rsidDel="00000000" w:rsidR="00000000" w:rsidRPr="00000000">
        <w:rPr>
          <w:rtl w:val="0"/>
        </w:rPr>
      </w:r>
    </w:p>
    <w:p w:rsidR="00000000" w:rsidDel="00000000" w:rsidP="00000000" w:rsidRDefault="00000000" w:rsidRPr="00000000" w14:paraId="000000B9">
      <w:pPr>
        <w:pStyle w:val="Heading1"/>
        <w:pBdr>
          <w:bottom w:color="c8962e" w:space="6" w:sz="4" w:val="single"/>
        </w:pBdr>
        <w:spacing w:after="160" w:before="360" w:lineRule="auto"/>
        <w:rPr/>
      </w:pPr>
      <w:r w:rsidDel="00000000" w:rsidR="00000000" w:rsidRPr="00000000">
        <w:rPr>
          <w:rFonts w:ascii="Arial" w:cs="Arial" w:eastAsia="Arial" w:hAnsi="Arial"/>
          <w:b w:val="1"/>
          <w:bCs w:val="1"/>
          <w:color w:val="1a2b4a"/>
          <w:sz w:val="32"/>
          <w:szCs w:val="32"/>
          <w:rtl w:val="0"/>
        </w:rPr>
        <w:t xml:space="preserve">Appendix: Quick Reference</w:t>
      </w:r>
      <w:r w:rsidDel="00000000" w:rsidR="00000000" w:rsidRPr="00000000">
        <w:rPr>
          <w:rtl w:val="0"/>
        </w:rPr>
      </w:r>
    </w:p>
    <w:p w:rsidR="00000000" w:rsidDel="00000000" w:rsidP="00000000" w:rsidRDefault="00000000" w:rsidRPr="00000000" w14:paraId="000000BA">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Token Taxonomy at a Glance</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Participation Tesera — 1 token/hr — Attendance &amp; participation records</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Signal Tesera — 1–5 tokens — Peer-reviewed horizon scanning contributions</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Scenario Tesera — 2–10 tokens — Scenario development and contributions</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Cross-Functional Tesera — 5 tokens — Multi-department collaboration</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Cognitive Shift Lumina — 10–50 tokens — Peer-reviewed cognitive/language change</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Cultural Adaptation Lumina — 20 tokens — Survey-verified cultural indicators</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Emotional Intelligence Lumina — 15 tokens — Pre/post emotional granularity assessment</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Resilience Proba — 50–100 tokens — Third-party verified recovery data</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Strategic Timing Proba — 100+ tokens — Audited early-mover advantage evidence</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Avoided Crisis Proba — 75–200 tokens — Full documented evidence chain</w:t>
      </w:r>
      <w:r w:rsidDel="00000000" w:rsidR="00000000" w:rsidRPr="00000000">
        <w:rPr>
          <w:rtl w:val="0"/>
        </w:rPr>
      </w:r>
    </w:p>
    <w:p w:rsidR="00000000" w:rsidDel="00000000" w:rsidP="00000000" w:rsidRDefault="00000000" w:rsidRPr="00000000" w14:paraId="000000C5">
      <w:pPr>
        <w:spacing w:after="0" w:before="160" w:lineRule="auto"/>
        <w:rPr/>
      </w:pPr>
      <w:r w:rsidDel="00000000" w:rsidR="00000000" w:rsidRPr="00000000">
        <w:rPr>
          <w:rtl w:val="0"/>
        </w:rPr>
      </w:r>
    </w:p>
    <w:p w:rsidR="00000000" w:rsidDel="00000000" w:rsidP="00000000" w:rsidRDefault="00000000" w:rsidRPr="00000000" w14:paraId="000000C6">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Token Decay Schedule</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Tesera: 3-year half-life</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Lumina: 5-year half-life</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Proba: No decay — permanent record</w:t>
      </w:r>
      <w:r w:rsidDel="00000000" w:rsidR="00000000" w:rsidRPr="00000000">
        <w:rPr>
          <w:rtl w:val="0"/>
        </w:rPr>
      </w:r>
    </w:p>
    <w:p w:rsidR="00000000" w:rsidDel="00000000" w:rsidP="00000000" w:rsidRDefault="00000000" w:rsidRPr="00000000" w14:paraId="000000CA">
      <w:pPr>
        <w:spacing w:after="0" w:before="160" w:lineRule="auto"/>
        <w:rPr/>
      </w:pPr>
      <w:r w:rsidDel="00000000" w:rsidR="00000000" w:rsidRPr="00000000">
        <w:rPr>
          <w:rtl w:val="0"/>
        </w:rPr>
      </w:r>
    </w:p>
    <w:p w:rsidR="00000000" w:rsidDel="00000000" w:rsidP="00000000" w:rsidRDefault="00000000" w:rsidRPr="00000000" w14:paraId="000000CB">
      <w:pPr>
        <w:pStyle w:val="Heading2"/>
        <w:spacing w:after="120" w:before="280" w:lineRule="auto"/>
        <w:rPr/>
      </w:pPr>
      <w:r w:rsidDel="00000000" w:rsidR="00000000" w:rsidRPr="00000000">
        <w:rPr>
          <w:rFonts w:ascii="Arial" w:cs="Arial" w:eastAsia="Arial" w:hAnsi="Arial"/>
          <w:b w:val="1"/>
          <w:bCs w:val="1"/>
          <w:color w:val="2a7a8c"/>
          <w:sz w:val="26"/>
          <w:szCs w:val="26"/>
          <w:rtl w:val="0"/>
        </w:rPr>
        <w:t xml:space="preserve">Verification Tiers</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Tier 1 (Tesera): Automated digital tracking</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Tier 2 (Lumina): Internal peer review + external consultant for large claims</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Tier 3 (Proba): Independent third-party audit against industry benchmarks</w:t>
      </w:r>
      <w:r w:rsidDel="00000000" w:rsidR="00000000" w:rsidRPr="00000000">
        <w:rPr>
          <w:rtl w:val="0"/>
        </w:rPr>
      </w:r>
    </w:p>
    <w:sectPr>
      <w:headerReference r:id="rId10" w:type="default"/>
      <w:footerReference r:id="rId11"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color="c8962e" w:space="6" w:sz="4" w:val="single"/>
      </w:pBdr>
      <w:tabs>
        <w:tab w:val="right" w:leader="none" w:pos="9026"/>
      </w:tabs>
      <w:rPr/>
    </w:pPr>
    <w:r w:rsidDel="00000000" w:rsidR="00000000" w:rsidRPr="00000000">
      <w:rPr>
        <w:rFonts w:ascii="Arial" w:cs="Arial" w:eastAsia="Arial" w:hAnsi="Arial"/>
        <w:color w:val="888888"/>
        <w:sz w:val="16"/>
        <w:szCs w:val="16"/>
        <w:rtl w:val="0"/>
      </w:rPr>
      <w:t xml:space="preserve">© 2026 Futures Quotient. All rights reserved.</w:t>
    </w:r>
    <w:r w:rsidDel="00000000" w:rsidR="00000000" w:rsidRPr="00000000">
      <w:rPr>
        <w:rFonts w:ascii="Arial" w:cs="Arial" w:eastAsia="Arial" w:hAnsi="Arial"/>
        <w:color w:val="888888"/>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bottom w:color="c8962e" w:space="6" w:sz="4" w:val="single"/>
      </w:pBdr>
      <w:tabs>
        <w:tab w:val="right" w:leader="none" w:pos="9026"/>
      </w:tabs>
      <w:rPr/>
    </w:pPr>
    <w:r w:rsidDel="00000000" w:rsidR="00000000" w:rsidRPr="00000000">
      <w:rPr>
        <w:rFonts w:ascii="Arial" w:cs="Arial" w:eastAsia="Arial" w:hAnsi="Arial"/>
        <w:b w:val="1"/>
        <w:bCs w:val="1"/>
        <w:color w:val="1a2b4a"/>
        <w:sz w:val="18"/>
        <w:szCs w:val="18"/>
        <w:rtl w:val="0"/>
      </w:rPr>
      <w:t xml:space="preserve">FUTURES QUOTIENT</w:t>
    </w:r>
    <w:r w:rsidDel="00000000" w:rsidR="00000000" w:rsidRPr="00000000">
      <w:rPr>
        <w:rFonts w:ascii="Arial" w:cs="Arial" w:eastAsia="Arial" w:hAnsi="Arial"/>
        <w:color w:val="888888"/>
        <w:sz w:val="18"/>
        <w:szCs w:val="18"/>
        <w:rtl w:val="0"/>
      </w:rPr>
      <w:t xml:space="preserve">White Paper</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360" w:line="240" w:lineRule="auto"/>
      <w:ind w:left="0" w:right="0" w:firstLine="0"/>
      <w:jc w:val="left"/>
    </w:pPr>
    <w:rPr>
      <w:rFonts w:ascii="Arial" w:cs="Arial" w:eastAsia="Arial" w:hAnsi="Arial"/>
      <w:b w:val="1"/>
      <w:bCs w:val="1"/>
      <w:i w:val="0"/>
      <w:iCs w:val="0"/>
      <w:smallCaps w:val="0"/>
      <w:strike w:val="0"/>
      <w:color w:val="1a2b4a"/>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left"/>
    </w:pPr>
    <w:rPr>
      <w:rFonts w:ascii="Arial" w:cs="Arial" w:eastAsia="Arial" w:hAnsi="Arial"/>
      <w:b w:val="1"/>
      <w:bCs w:val="1"/>
      <w:i w:val="0"/>
      <w:iCs w:val="0"/>
      <w:smallCaps w:val="0"/>
      <w:strike w:val="0"/>
      <w:color w:val="2a7a8c"/>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000000"/>
      <w:sz w:val="56"/>
      <w:szCs w:val="56"/>
      <w:u w:val="none"/>
      <w:shd w:fill="auto" w:val="clear"/>
      <w:vertAlign w:val="baseline"/>
    </w:rPr>
  </w:style>
  <w:style w:type="paragraph" w:styleId="Strong">
    <w:name w:val="Strong"/>
    <w:basedOn w:val="Normal"/>
    <w:next w:val="Normal"/>
    <w:qFormat w:val="1"/>
    <w:rPr>
      <w:b w:val="1"/>
      <w:bCs w:val="1"/>
    </w:rPr>
  </w:style>
  <w:style w:type="paragraph" w:styleId="ListParagraph">
    <w:name w:val="List Paragraph"/>
    <w:basedOn w:val="Normal"/>
    <w:qFormat w:val="1"/>
  </w:style>
  <w:style w:type="character" w:styleId="Hyperlink">
    <w:name w:val="Hyperlink"/>
    <w:basedOn w:val="DefaultParagraphFont"/>
    <w:uiPriority w:val="99"/>
    <w:unhideWhenUsed w:val="1"/>
    <w:rPr>
      <w:color w:val="0563c1"/>
      <w:u w:val="single"/>
    </w:rPr>
  </w:style>
  <w:style w:type="character" w:styleId="FootnoteReference">
    <w:name w:val="footnote reference"/>
    <w:basedOn w:val="DefaultParagraphFont"/>
    <w:uiPriority w:val="99"/>
    <w:semiHidden w:val="1"/>
    <w:unhideWhenUsed w:val="1"/>
    <w:rPr>
      <w:vertAlign w:val="superscript"/>
    </w:rPr>
  </w:style>
  <w:style w:type="paragraph" w:styleId="FootnoteText">
    <w:name w:val="footnote text"/>
    <w:basedOn w:val="Normal"/>
    <w:link w:val="FootnoteTextChar"/>
    <w:uiPriority w:val="99"/>
    <w:semiHidden w:val="1"/>
    <w:unhideWhenUsed w:val="1"/>
    <w:pPr>
      <w:spacing w:after="0" w:line="240" w:lineRule="auto"/>
    </w:pPr>
    <w:rPr>
      <w:sz w:val="20"/>
      <w:szCs w:val="20"/>
    </w:rPr>
  </w:style>
  <w:style w:type="character" w:styleId="FootnoteTextChar">
    <w:name w:val="Footnote Text Char"/>
    <w:basedOn w:val="DefaultParagraphFont"/>
    <w:link w:val="FootnoteText"/>
    <w:uiPriority w:val="99"/>
    <w:semiHidden w:val="1"/>
    <w:unhideWhenUsed w:val="1"/>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8ZYDiBayWPwehfIohvRKr2jmJQ==">CgMxLjA4AHIhMXByUmp6bTN1eGVXV2hUa0xRQ0V2QWRUT0Y4czYwOXcy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2026-02-20T20:54:16.862Z</dcterms:created>
  <dc:creator>Un-named</dc:creator>
</cp:coreProperties>
</file>

<file path=docProps/custom.xml><?xml version="1.0" encoding="utf-8"?>
<Properties xmlns="http://schemas.openxmlformats.org/officeDocument/2006/custom-properties" xmlns:vt="http://schemas.openxmlformats.org/officeDocument/2006/docPropsVTypes"/>
</file>